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07A2" w:rsidRPr="007D07A2" w:rsidRDefault="007D07A2" w:rsidP="007D07A2">
      <w:pPr>
        <w:rPr>
          <w:sz w:val="22"/>
          <w:szCs w:val="22"/>
        </w:rPr>
      </w:pPr>
      <w:r>
        <w:rPr>
          <w:sz w:val="22"/>
          <w:szCs w:val="22"/>
        </w:rPr>
        <w:t>Iktatószám:</w:t>
      </w:r>
      <w:r w:rsidR="00490E63">
        <w:rPr>
          <w:sz w:val="22"/>
          <w:szCs w:val="22"/>
        </w:rPr>
        <w:t xml:space="preserve"> </w:t>
      </w:r>
      <w:r w:rsidR="006465B0">
        <w:rPr>
          <w:sz w:val="22"/>
          <w:szCs w:val="22"/>
        </w:rPr>
        <w:t>26511</w:t>
      </w:r>
      <w:bookmarkStart w:id="0" w:name="_GoBack"/>
      <w:bookmarkEnd w:id="0"/>
      <w:r w:rsidR="004340A2">
        <w:rPr>
          <w:sz w:val="22"/>
          <w:szCs w:val="22"/>
        </w:rPr>
        <w:t>/</w:t>
      </w:r>
      <w:r w:rsidR="005E4A9D">
        <w:rPr>
          <w:sz w:val="22"/>
          <w:szCs w:val="22"/>
        </w:rPr>
        <w:t>202</w:t>
      </w:r>
      <w:r w:rsidR="00304106">
        <w:rPr>
          <w:sz w:val="22"/>
          <w:szCs w:val="22"/>
        </w:rPr>
        <w:t>5</w:t>
      </w:r>
      <w:r w:rsidR="00132FD8">
        <w:rPr>
          <w:sz w:val="22"/>
          <w:szCs w:val="22"/>
        </w:rPr>
        <w:t>.</w:t>
      </w:r>
    </w:p>
    <w:p w:rsidR="007D07A2" w:rsidRPr="001E0972" w:rsidRDefault="007D07A2" w:rsidP="00C67031">
      <w:pPr>
        <w:jc w:val="center"/>
        <w:rPr>
          <w:b/>
        </w:rPr>
      </w:pPr>
    </w:p>
    <w:p w:rsidR="00490E63" w:rsidRDefault="00C67031" w:rsidP="00490E63">
      <w:pPr>
        <w:jc w:val="center"/>
        <w:rPr>
          <w:b/>
          <w:sz w:val="28"/>
          <w:szCs w:val="28"/>
        </w:rPr>
      </w:pPr>
      <w:r w:rsidRPr="00E1649D">
        <w:rPr>
          <w:b/>
          <w:sz w:val="28"/>
          <w:szCs w:val="28"/>
        </w:rPr>
        <w:t xml:space="preserve">Összefoglaló jelentés </w:t>
      </w:r>
      <w:r w:rsidR="00490E63">
        <w:rPr>
          <w:b/>
          <w:sz w:val="28"/>
          <w:szCs w:val="28"/>
        </w:rPr>
        <w:t xml:space="preserve">a </w:t>
      </w:r>
      <w:r w:rsidR="00CD2D3F" w:rsidRPr="007D07A2">
        <w:rPr>
          <w:b/>
          <w:sz w:val="28"/>
          <w:szCs w:val="28"/>
        </w:rPr>
        <w:t xml:space="preserve">Széchenyi u. Óvoda, </w:t>
      </w:r>
    </w:p>
    <w:p w:rsidR="00CD2D3F" w:rsidRPr="007D07A2" w:rsidRDefault="00CD2D3F" w:rsidP="00490E63">
      <w:pPr>
        <w:jc w:val="center"/>
        <w:rPr>
          <w:b/>
          <w:sz w:val="28"/>
          <w:szCs w:val="28"/>
        </w:rPr>
      </w:pPr>
      <w:r w:rsidRPr="007D07A2">
        <w:rPr>
          <w:b/>
          <w:sz w:val="28"/>
          <w:szCs w:val="28"/>
        </w:rPr>
        <w:t xml:space="preserve">Deák u. Tagóvoda, Budai u. Tagóvoda, </w:t>
      </w:r>
      <w:proofErr w:type="spellStart"/>
      <w:r w:rsidRPr="007D07A2">
        <w:rPr>
          <w:b/>
          <w:sz w:val="28"/>
          <w:szCs w:val="28"/>
        </w:rPr>
        <w:t>Ugyeri</w:t>
      </w:r>
      <w:proofErr w:type="spellEnd"/>
      <w:r w:rsidRPr="007D07A2">
        <w:rPr>
          <w:b/>
          <w:sz w:val="28"/>
          <w:szCs w:val="28"/>
        </w:rPr>
        <w:t xml:space="preserve"> Tagóvoda</w:t>
      </w:r>
    </w:p>
    <w:p w:rsidR="00E1649D" w:rsidRPr="00E1649D" w:rsidRDefault="005E4A9D" w:rsidP="00E1649D">
      <w:pPr>
        <w:jc w:val="center"/>
        <w:rPr>
          <w:b/>
          <w:sz w:val="28"/>
          <w:szCs w:val="28"/>
        </w:rPr>
      </w:pPr>
      <w:r>
        <w:rPr>
          <w:b/>
          <w:sz w:val="28"/>
          <w:szCs w:val="28"/>
        </w:rPr>
        <w:t>20</w:t>
      </w:r>
      <w:r w:rsidR="00D64C73">
        <w:rPr>
          <w:b/>
          <w:sz w:val="28"/>
          <w:szCs w:val="28"/>
        </w:rPr>
        <w:t>2</w:t>
      </w:r>
      <w:r w:rsidR="00304106">
        <w:rPr>
          <w:b/>
          <w:sz w:val="28"/>
          <w:szCs w:val="28"/>
        </w:rPr>
        <w:t>4</w:t>
      </w:r>
      <w:r w:rsidR="00C67031" w:rsidRPr="00E1649D">
        <w:rPr>
          <w:b/>
          <w:sz w:val="28"/>
          <w:szCs w:val="28"/>
        </w:rPr>
        <w:t>. évi belső ellenőrzéséről</w:t>
      </w:r>
    </w:p>
    <w:p w:rsidR="00E97CF7" w:rsidRPr="00C67031" w:rsidRDefault="00E97CF7" w:rsidP="000F6707">
      <w:pPr>
        <w:rPr>
          <w:b/>
        </w:rPr>
      </w:pPr>
    </w:p>
    <w:p w:rsidR="00490E63" w:rsidRDefault="00490E63" w:rsidP="00490E63">
      <w:pPr>
        <w:jc w:val="both"/>
        <w:rPr>
          <w:u w:val="single"/>
        </w:rPr>
      </w:pPr>
      <w:r w:rsidRPr="00283F3B">
        <w:rPr>
          <w:u w:val="single"/>
        </w:rPr>
        <w:t>I/ A belső ellenőrzés által végzett tevékenység bemutatása önértékelés alapján</w:t>
      </w:r>
    </w:p>
    <w:p w:rsidR="00490E63" w:rsidRDefault="00490E63" w:rsidP="00490E63">
      <w:pPr>
        <w:jc w:val="both"/>
      </w:pPr>
      <w:r>
        <w:t>A belső ellenőrzési kötelezettséget az államháztartásról szóló 2011</w:t>
      </w:r>
      <w:r w:rsidRPr="00EE1928">
        <w:t>.</w:t>
      </w:r>
      <w:r>
        <w:t xml:space="preserve"> évi CXCV. </w:t>
      </w:r>
      <w:r w:rsidRPr="00EE1928">
        <w:t>törvény</w:t>
      </w:r>
      <w:r>
        <w:t xml:space="preserve"> (Áht.) írja elő. A belső ellenőrzési tevékenységre vonatkozó előírásokat a költségvetési szervek belső kontrollrendszeréről és belső ellenőrzéséről szóló 370/2011. (XII.31.) Korm. rendelet (</w:t>
      </w:r>
      <w:proofErr w:type="spellStart"/>
      <w:r>
        <w:t>Bkr</w:t>
      </w:r>
      <w:proofErr w:type="spellEnd"/>
      <w:r>
        <w:t>.) szabályozza.</w:t>
      </w:r>
      <w:r w:rsidRPr="00EE1928">
        <w:t xml:space="preserve"> </w:t>
      </w:r>
      <w:r>
        <w:t xml:space="preserve"> </w:t>
      </w:r>
    </w:p>
    <w:p w:rsidR="00490E63" w:rsidRDefault="00490E63" w:rsidP="00490E63">
      <w:pPr>
        <w:jc w:val="both"/>
      </w:pPr>
      <w:r>
        <w:t>A beszá</w:t>
      </w:r>
      <w:r w:rsidR="001B742F">
        <w:t>molási időszakban a Széchenyi Úti Óvoda és tagintézményei</w:t>
      </w:r>
      <w:r>
        <w:t xml:space="preserve"> (továbbiakban együtt: óvoda) saját belső ellenőrzé</w:t>
      </w:r>
      <w:r w:rsidR="001B742F">
        <w:t>si szervezettel nem rendelkeze</w:t>
      </w:r>
      <w:r w:rsidR="00D64C73">
        <w:t>tt</w:t>
      </w:r>
      <w:r>
        <w:t xml:space="preserve">, a feladatot a Képviselő-testület döntése alapján a Ceglédi Közös Önkormányzati Hivatal (továbbiakban: önkormányzati hivatal) Belső Ellenőrzése látta el. A belső ellenőrzés a </w:t>
      </w:r>
      <w:proofErr w:type="spellStart"/>
      <w:r>
        <w:t>Bkr</w:t>
      </w:r>
      <w:proofErr w:type="spellEnd"/>
      <w:r>
        <w:t xml:space="preserve">. előírásai alapján került megszervezésre, az önkormányzati hivatal és az óvoda között létrejött feladatellátási megállapodások szerint. A belső ellenőrök megbízólevelét az óvoda vezetője írta alá, az ellenőrzési programot a belső ellenőrzési vezető hagyta jóvá.  </w:t>
      </w:r>
    </w:p>
    <w:p w:rsidR="00490E63" w:rsidRDefault="00490E63" w:rsidP="00490E63">
      <w:pPr>
        <w:jc w:val="both"/>
      </w:pPr>
    </w:p>
    <w:p w:rsidR="00490E63" w:rsidRPr="00EE1928" w:rsidRDefault="00490E63" w:rsidP="00490E63">
      <w:pPr>
        <w:jc w:val="both"/>
        <w:rPr>
          <w:u w:val="single"/>
        </w:rPr>
      </w:pPr>
      <w:r>
        <w:rPr>
          <w:u w:val="single"/>
        </w:rPr>
        <w:t xml:space="preserve">I.1./ </w:t>
      </w:r>
      <w:r w:rsidRPr="00EE1928">
        <w:rPr>
          <w:u w:val="single"/>
        </w:rPr>
        <w:t>Az</w:t>
      </w:r>
      <w:r>
        <w:rPr>
          <w:u w:val="single"/>
        </w:rPr>
        <w:t xml:space="preserve"> éves</w:t>
      </w:r>
      <w:r w:rsidRPr="00EE1928">
        <w:rPr>
          <w:u w:val="single"/>
        </w:rPr>
        <w:t xml:space="preserve"> ellenőrzési tervben foglalt feladatok teljesítésének értékelése</w:t>
      </w:r>
    </w:p>
    <w:p w:rsidR="00490E63" w:rsidRDefault="00490E63" w:rsidP="00490E63">
      <w:pPr>
        <w:jc w:val="both"/>
        <w:rPr>
          <w:u w:val="single"/>
        </w:rPr>
      </w:pPr>
    </w:p>
    <w:p w:rsidR="00490E63" w:rsidRPr="006C1A7B" w:rsidRDefault="00490E63" w:rsidP="00490E63">
      <w:pPr>
        <w:jc w:val="both"/>
        <w:rPr>
          <w:u w:val="single"/>
        </w:rPr>
      </w:pPr>
      <w:r w:rsidRPr="006C1A7B">
        <w:rPr>
          <w:u w:val="single"/>
        </w:rPr>
        <w:t>I/1/a) A tárgyévre vonatkozó éves ellenőrzési terv teljesítése, az ellenőrzések összesítése</w:t>
      </w:r>
    </w:p>
    <w:p w:rsidR="00490E63" w:rsidRPr="00EE1928" w:rsidRDefault="00490E63" w:rsidP="00490E63">
      <w:pPr>
        <w:jc w:val="both"/>
        <w:rPr>
          <w:u w:val="single"/>
        </w:rPr>
      </w:pPr>
    </w:p>
    <w:p w:rsidR="00490E63" w:rsidRDefault="00325386" w:rsidP="00490E63">
      <w:pPr>
        <w:jc w:val="both"/>
      </w:pPr>
      <w:r>
        <w:t>Az óvoda 20</w:t>
      </w:r>
      <w:r w:rsidR="00F90879">
        <w:t>2</w:t>
      </w:r>
      <w:r w:rsidR="00304106">
        <w:t>4</w:t>
      </w:r>
      <w:r w:rsidR="00490E63" w:rsidRPr="00C73256">
        <w:t xml:space="preserve">. évi belső ellenőrzési munkatervében az ellenőrzési kapacitás </w:t>
      </w:r>
      <w:r w:rsidR="00E97CF7">
        <w:t>2</w:t>
      </w:r>
      <w:r w:rsidR="00C03894">
        <w:t>4</w:t>
      </w:r>
      <w:r w:rsidR="00490E63" w:rsidRPr="00C73256">
        <w:t xml:space="preserve"> szakértői nap, </w:t>
      </w:r>
      <w:r w:rsidR="00490E63">
        <w:t xml:space="preserve">mely 2 </w:t>
      </w:r>
      <w:r w:rsidR="00490E63" w:rsidRPr="00EE1928">
        <w:t>fő e</w:t>
      </w:r>
      <w:r w:rsidR="00490E63">
        <w:t>llenőr tevékenységére épült. Az ellenőrzési tervben meghatározott témakörök ellenőrzése megtörtént, feladatelmaradásra, illetve a tervben foglalt témakörök módosítására nem került sor. Soron kívüli ellenőrzést az intézményvezető nem rendelt el.</w:t>
      </w:r>
    </w:p>
    <w:tbl>
      <w:tblPr>
        <w:tblStyle w:val="Rcsostblzat"/>
        <w:tblW w:w="0" w:type="auto"/>
        <w:tblLook w:val="04A0" w:firstRow="1" w:lastRow="0" w:firstColumn="1" w:lastColumn="0" w:noHBand="0" w:noVBand="1"/>
      </w:tblPr>
      <w:tblGrid>
        <w:gridCol w:w="4150"/>
        <w:gridCol w:w="2054"/>
        <w:gridCol w:w="2126"/>
      </w:tblGrid>
      <w:tr w:rsidR="005508E9" w:rsidRPr="00347691" w:rsidTr="00CA5C58">
        <w:tc>
          <w:tcPr>
            <w:tcW w:w="4150" w:type="dxa"/>
          </w:tcPr>
          <w:p w:rsidR="005508E9" w:rsidRPr="00347691" w:rsidRDefault="005508E9" w:rsidP="00820298">
            <w:pPr>
              <w:jc w:val="center"/>
              <w:rPr>
                <w:b/>
                <w:sz w:val="22"/>
                <w:szCs w:val="22"/>
              </w:rPr>
            </w:pPr>
            <w:r w:rsidRPr="00347691">
              <w:rPr>
                <w:b/>
                <w:sz w:val="22"/>
                <w:szCs w:val="22"/>
              </w:rPr>
              <w:t>Megnevezés</w:t>
            </w:r>
          </w:p>
        </w:tc>
        <w:tc>
          <w:tcPr>
            <w:tcW w:w="2054" w:type="dxa"/>
          </w:tcPr>
          <w:p w:rsidR="005508E9" w:rsidRPr="00347691" w:rsidRDefault="005508E9" w:rsidP="00820298">
            <w:pPr>
              <w:jc w:val="right"/>
              <w:rPr>
                <w:b/>
                <w:sz w:val="22"/>
                <w:szCs w:val="22"/>
              </w:rPr>
            </w:pPr>
            <w:r w:rsidRPr="00347691">
              <w:rPr>
                <w:b/>
                <w:sz w:val="22"/>
                <w:szCs w:val="22"/>
              </w:rPr>
              <w:t>Tervezett szakértői nap napok száma</w:t>
            </w:r>
          </w:p>
        </w:tc>
        <w:tc>
          <w:tcPr>
            <w:tcW w:w="2126" w:type="dxa"/>
          </w:tcPr>
          <w:p w:rsidR="005508E9" w:rsidRPr="00347691" w:rsidRDefault="005508E9" w:rsidP="00820298">
            <w:pPr>
              <w:rPr>
                <w:b/>
                <w:sz w:val="22"/>
                <w:szCs w:val="22"/>
              </w:rPr>
            </w:pPr>
            <w:r w:rsidRPr="00347691">
              <w:rPr>
                <w:b/>
                <w:sz w:val="22"/>
                <w:szCs w:val="22"/>
              </w:rPr>
              <w:t xml:space="preserve">Teljesített szakértői nap napok száma </w:t>
            </w:r>
          </w:p>
        </w:tc>
      </w:tr>
      <w:tr w:rsidR="00304106" w:rsidTr="00CA5C58">
        <w:tc>
          <w:tcPr>
            <w:tcW w:w="4150" w:type="dxa"/>
          </w:tcPr>
          <w:p w:rsidR="00304106" w:rsidRPr="000030CF" w:rsidRDefault="00304106" w:rsidP="00304106">
            <w:pPr>
              <w:jc w:val="both"/>
              <w:rPr>
                <w:sz w:val="22"/>
                <w:szCs w:val="22"/>
              </w:rPr>
            </w:pPr>
            <w:r w:rsidRPr="000030CF">
              <w:rPr>
                <w:sz w:val="22"/>
                <w:szCs w:val="22"/>
              </w:rPr>
              <w:t xml:space="preserve">ellenőrzési feladatok: </w:t>
            </w:r>
            <w:r w:rsidRPr="000030CF">
              <w:rPr>
                <w:sz w:val="22"/>
                <w:szCs w:val="22"/>
              </w:rPr>
              <w:tab/>
            </w:r>
          </w:p>
        </w:tc>
        <w:tc>
          <w:tcPr>
            <w:tcW w:w="2054" w:type="dxa"/>
          </w:tcPr>
          <w:p w:rsidR="00304106" w:rsidRPr="000030CF" w:rsidRDefault="00304106" w:rsidP="00304106">
            <w:pPr>
              <w:jc w:val="right"/>
              <w:rPr>
                <w:sz w:val="22"/>
                <w:szCs w:val="22"/>
              </w:rPr>
            </w:pPr>
            <w:r>
              <w:rPr>
                <w:sz w:val="22"/>
                <w:szCs w:val="22"/>
              </w:rPr>
              <w:t>16</w:t>
            </w:r>
            <w:r w:rsidRPr="000030CF">
              <w:rPr>
                <w:sz w:val="22"/>
                <w:szCs w:val="22"/>
              </w:rPr>
              <w:t xml:space="preserve"> </w:t>
            </w:r>
          </w:p>
        </w:tc>
        <w:tc>
          <w:tcPr>
            <w:tcW w:w="2126" w:type="dxa"/>
          </w:tcPr>
          <w:p w:rsidR="00304106" w:rsidRDefault="00304106" w:rsidP="00304106">
            <w:pPr>
              <w:jc w:val="right"/>
              <w:rPr>
                <w:sz w:val="22"/>
                <w:szCs w:val="22"/>
              </w:rPr>
            </w:pPr>
            <w:r>
              <w:rPr>
                <w:sz w:val="22"/>
                <w:szCs w:val="22"/>
              </w:rPr>
              <w:t>16</w:t>
            </w:r>
          </w:p>
        </w:tc>
      </w:tr>
      <w:tr w:rsidR="00304106" w:rsidRPr="000030CF" w:rsidTr="00CA5C58">
        <w:tc>
          <w:tcPr>
            <w:tcW w:w="4150" w:type="dxa"/>
          </w:tcPr>
          <w:p w:rsidR="00304106" w:rsidRPr="000030CF" w:rsidRDefault="00304106" w:rsidP="00304106">
            <w:pPr>
              <w:jc w:val="both"/>
              <w:rPr>
                <w:sz w:val="22"/>
                <w:szCs w:val="22"/>
              </w:rPr>
            </w:pPr>
            <w:r w:rsidRPr="000030CF">
              <w:rPr>
                <w:sz w:val="22"/>
                <w:szCs w:val="22"/>
              </w:rPr>
              <w:t>utóellenőrzés</w:t>
            </w:r>
          </w:p>
        </w:tc>
        <w:tc>
          <w:tcPr>
            <w:tcW w:w="2054" w:type="dxa"/>
          </w:tcPr>
          <w:p w:rsidR="00304106" w:rsidRPr="000030CF" w:rsidRDefault="00304106" w:rsidP="00304106">
            <w:pPr>
              <w:jc w:val="right"/>
              <w:rPr>
                <w:sz w:val="22"/>
                <w:szCs w:val="22"/>
              </w:rPr>
            </w:pPr>
            <w:r>
              <w:rPr>
                <w:sz w:val="22"/>
                <w:szCs w:val="22"/>
              </w:rPr>
              <w:t>0</w:t>
            </w:r>
            <w:r w:rsidRPr="000030CF">
              <w:rPr>
                <w:sz w:val="22"/>
                <w:szCs w:val="22"/>
              </w:rPr>
              <w:t xml:space="preserve"> </w:t>
            </w:r>
          </w:p>
        </w:tc>
        <w:tc>
          <w:tcPr>
            <w:tcW w:w="2126" w:type="dxa"/>
          </w:tcPr>
          <w:p w:rsidR="00304106" w:rsidRPr="000030CF" w:rsidRDefault="00304106" w:rsidP="00304106">
            <w:pPr>
              <w:jc w:val="right"/>
              <w:rPr>
                <w:sz w:val="22"/>
                <w:szCs w:val="22"/>
              </w:rPr>
            </w:pPr>
            <w:r>
              <w:rPr>
                <w:sz w:val="22"/>
                <w:szCs w:val="22"/>
              </w:rPr>
              <w:t>0</w:t>
            </w:r>
          </w:p>
        </w:tc>
      </w:tr>
      <w:tr w:rsidR="00304106" w:rsidRPr="000030CF" w:rsidTr="00CA5C58">
        <w:tc>
          <w:tcPr>
            <w:tcW w:w="4150" w:type="dxa"/>
          </w:tcPr>
          <w:p w:rsidR="00304106" w:rsidRPr="000030CF" w:rsidRDefault="00304106" w:rsidP="00304106">
            <w:pPr>
              <w:jc w:val="both"/>
              <w:rPr>
                <w:sz w:val="22"/>
                <w:szCs w:val="22"/>
              </w:rPr>
            </w:pPr>
            <w:r w:rsidRPr="000030CF">
              <w:rPr>
                <w:sz w:val="22"/>
                <w:szCs w:val="22"/>
              </w:rPr>
              <w:t>soron kívüli ellenőrzések tartaléka</w:t>
            </w:r>
          </w:p>
        </w:tc>
        <w:tc>
          <w:tcPr>
            <w:tcW w:w="2054" w:type="dxa"/>
          </w:tcPr>
          <w:p w:rsidR="00304106" w:rsidRPr="000030CF" w:rsidRDefault="00304106" w:rsidP="00304106">
            <w:pPr>
              <w:jc w:val="right"/>
              <w:rPr>
                <w:sz w:val="22"/>
                <w:szCs w:val="22"/>
              </w:rPr>
            </w:pPr>
            <w:r w:rsidRPr="000030CF">
              <w:rPr>
                <w:sz w:val="22"/>
                <w:szCs w:val="22"/>
              </w:rPr>
              <w:t xml:space="preserve">2 </w:t>
            </w:r>
          </w:p>
        </w:tc>
        <w:tc>
          <w:tcPr>
            <w:tcW w:w="2126" w:type="dxa"/>
          </w:tcPr>
          <w:p w:rsidR="00304106" w:rsidRPr="000030CF" w:rsidRDefault="00304106" w:rsidP="00304106">
            <w:pPr>
              <w:jc w:val="right"/>
              <w:rPr>
                <w:sz w:val="22"/>
                <w:szCs w:val="22"/>
              </w:rPr>
            </w:pPr>
            <w:r>
              <w:rPr>
                <w:sz w:val="22"/>
                <w:szCs w:val="22"/>
              </w:rPr>
              <w:t>0</w:t>
            </w:r>
          </w:p>
        </w:tc>
      </w:tr>
      <w:tr w:rsidR="00304106" w:rsidRPr="000030CF" w:rsidTr="00CA5C58">
        <w:tc>
          <w:tcPr>
            <w:tcW w:w="4150" w:type="dxa"/>
          </w:tcPr>
          <w:p w:rsidR="00304106" w:rsidRPr="000030CF" w:rsidRDefault="00304106" w:rsidP="00304106">
            <w:pPr>
              <w:jc w:val="both"/>
              <w:rPr>
                <w:sz w:val="22"/>
                <w:szCs w:val="22"/>
              </w:rPr>
            </w:pPr>
            <w:r w:rsidRPr="000030CF">
              <w:rPr>
                <w:sz w:val="22"/>
                <w:szCs w:val="22"/>
              </w:rPr>
              <w:t xml:space="preserve">tanácsadói tevékenység                                   </w:t>
            </w:r>
          </w:p>
        </w:tc>
        <w:tc>
          <w:tcPr>
            <w:tcW w:w="2054" w:type="dxa"/>
          </w:tcPr>
          <w:p w:rsidR="00304106" w:rsidRPr="000030CF" w:rsidRDefault="00304106" w:rsidP="00304106">
            <w:pPr>
              <w:jc w:val="right"/>
              <w:rPr>
                <w:sz w:val="22"/>
                <w:szCs w:val="22"/>
              </w:rPr>
            </w:pPr>
            <w:r w:rsidRPr="000030CF">
              <w:rPr>
                <w:sz w:val="22"/>
                <w:szCs w:val="22"/>
              </w:rPr>
              <w:t>1</w:t>
            </w:r>
          </w:p>
        </w:tc>
        <w:tc>
          <w:tcPr>
            <w:tcW w:w="2126" w:type="dxa"/>
          </w:tcPr>
          <w:p w:rsidR="00304106" w:rsidRPr="000030CF" w:rsidRDefault="00304106" w:rsidP="00304106">
            <w:pPr>
              <w:jc w:val="right"/>
              <w:rPr>
                <w:sz w:val="22"/>
                <w:szCs w:val="22"/>
              </w:rPr>
            </w:pPr>
            <w:r>
              <w:rPr>
                <w:sz w:val="22"/>
                <w:szCs w:val="22"/>
              </w:rPr>
              <w:t>3</w:t>
            </w:r>
          </w:p>
        </w:tc>
      </w:tr>
      <w:tr w:rsidR="00304106" w:rsidTr="00CA5C58">
        <w:tc>
          <w:tcPr>
            <w:tcW w:w="4150" w:type="dxa"/>
          </w:tcPr>
          <w:p w:rsidR="00304106" w:rsidRPr="000030CF" w:rsidRDefault="00304106" w:rsidP="00304106">
            <w:pPr>
              <w:jc w:val="both"/>
              <w:rPr>
                <w:sz w:val="22"/>
                <w:szCs w:val="22"/>
              </w:rPr>
            </w:pPr>
            <w:r w:rsidRPr="000030CF">
              <w:rPr>
                <w:sz w:val="22"/>
                <w:szCs w:val="22"/>
              </w:rPr>
              <w:t>képzés</w:t>
            </w:r>
          </w:p>
        </w:tc>
        <w:tc>
          <w:tcPr>
            <w:tcW w:w="2054" w:type="dxa"/>
          </w:tcPr>
          <w:p w:rsidR="00304106" w:rsidRPr="000030CF" w:rsidRDefault="00304106" w:rsidP="00304106">
            <w:pPr>
              <w:jc w:val="right"/>
              <w:rPr>
                <w:sz w:val="22"/>
                <w:szCs w:val="22"/>
              </w:rPr>
            </w:pPr>
            <w:r>
              <w:rPr>
                <w:sz w:val="22"/>
                <w:szCs w:val="22"/>
              </w:rPr>
              <w:t>1</w:t>
            </w:r>
          </w:p>
        </w:tc>
        <w:tc>
          <w:tcPr>
            <w:tcW w:w="2126" w:type="dxa"/>
          </w:tcPr>
          <w:p w:rsidR="00304106" w:rsidRDefault="00304106" w:rsidP="00304106">
            <w:pPr>
              <w:jc w:val="right"/>
              <w:rPr>
                <w:sz w:val="22"/>
                <w:szCs w:val="22"/>
              </w:rPr>
            </w:pPr>
            <w:r>
              <w:rPr>
                <w:sz w:val="22"/>
                <w:szCs w:val="22"/>
              </w:rPr>
              <w:t>1</w:t>
            </w:r>
          </w:p>
        </w:tc>
      </w:tr>
      <w:tr w:rsidR="00304106" w:rsidTr="00CA5C58">
        <w:trPr>
          <w:trHeight w:val="382"/>
        </w:trPr>
        <w:tc>
          <w:tcPr>
            <w:tcW w:w="4150" w:type="dxa"/>
          </w:tcPr>
          <w:p w:rsidR="00304106" w:rsidRPr="000030CF" w:rsidRDefault="00304106" w:rsidP="00304106">
            <w:pPr>
              <w:jc w:val="both"/>
              <w:rPr>
                <w:sz w:val="22"/>
                <w:szCs w:val="22"/>
              </w:rPr>
            </w:pPr>
            <w:r w:rsidRPr="000030CF">
              <w:rPr>
                <w:sz w:val="22"/>
                <w:szCs w:val="22"/>
              </w:rPr>
              <w:t xml:space="preserve">egyéb tevékenység (tervezés, beszámolás) </w:t>
            </w:r>
          </w:p>
        </w:tc>
        <w:tc>
          <w:tcPr>
            <w:tcW w:w="2054" w:type="dxa"/>
          </w:tcPr>
          <w:p w:rsidR="00304106" w:rsidRPr="000030CF" w:rsidRDefault="00304106" w:rsidP="00304106">
            <w:pPr>
              <w:jc w:val="right"/>
              <w:rPr>
                <w:sz w:val="22"/>
                <w:szCs w:val="22"/>
              </w:rPr>
            </w:pPr>
            <w:r>
              <w:rPr>
                <w:sz w:val="22"/>
                <w:szCs w:val="22"/>
              </w:rPr>
              <w:t>4</w:t>
            </w:r>
            <w:r w:rsidRPr="000030CF">
              <w:rPr>
                <w:sz w:val="22"/>
                <w:szCs w:val="22"/>
              </w:rPr>
              <w:t xml:space="preserve"> </w:t>
            </w:r>
          </w:p>
          <w:p w:rsidR="00304106" w:rsidRPr="000030CF" w:rsidRDefault="00304106" w:rsidP="00304106">
            <w:pPr>
              <w:jc w:val="right"/>
              <w:rPr>
                <w:sz w:val="22"/>
                <w:szCs w:val="22"/>
              </w:rPr>
            </w:pPr>
          </w:p>
        </w:tc>
        <w:tc>
          <w:tcPr>
            <w:tcW w:w="2126" w:type="dxa"/>
          </w:tcPr>
          <w:p w:rsidR="00304106" w:rsidRDefault="00304106" w:rsidP="00304106">
            <w:pPr>
              <w:jc w:val="right"/>
              <w:rPr>
                <w:sz w:val="22"/>
                <w:szCs w:val="22"/>
              </w:rPr>
            </w:pPr>
            <w:r>
              <w:rPr>
                <w:sz w:val="22"/>
                <w:szCs w:val="22"/>
              </w:rPr>
              <w:t>4</w:t>
            </w:r>
          </w:p>
        </w:tc>
      </w:tr>
    </w:tbl>
    <w:p w:rsidR="00490E63" w:rsidRDefault="00490E63" w:rsidP="00490E63">
      <w:pPr>
        <w:jc w:val="both"/>
      </w:pPr>
      <w:r w:rsidRPr="003C62CF">
        <w:t xml:space="preserve">                 </w:t>
      </w:r>
      <w:r>
        <w:t xml:space="preserve">              </w:t>
      </w:r>
      <w:r w:rsidRPr="003C62CF">
        <w:t xml:space="preserve">         </w:t>
      </w:r>
      <w:r>
        <w:t xml:space="preserve">  </w:t>
      </w:r>
    </w:p>
    <w:p w:rsidR="00490E63" w:rsidRPr="00C35B34" w:rsidRDefault="009D4244" w:rsidP="00490E63">
      <w:pPr>
        <w:jc w:val="both"/>
        <w:rPr>
          <w:sz w:val="22"/>
          <w:szCs w:val="22"/>
        </w:rPr>
      </w:pPr>
      <w:r>
        <w:rPr>
          <w:sz w:val="22"/>
          <w:szCs w:val="22"/>
        </w:rPr>
        <w:t>A 20</w:t>
      </w:r>
      <w:r w:rsidR="00CF4E1F">
        <w:rPr>
          <w:sz w:val="22"/>
          <w:szCs w:val="22"/>
        </w:rPr>
        <w:t>2</w:t>
      </w:r>
      <w:r w:rsidR="00C977AC">
        <w:rPr>
          <w:sz w:val="22"/>
          <w:szCs w:val="22"/>
        </w:rPr>
        <w:t>4</w:t>
      </w:r>
      <w:r w:rsidR="00490E63">
        <w:rPr>
          <w:sz w:val="22"/>
          <w:szCs w:val="22"/>
        </w:rPr>
        <w:t>. évi vizsgálat</w:t>
      </w:r>
      <w:r w:rsidR="005508E9">
        <w:rPr>
          <w:sz w:val="22"/>
          <w:szCs w:val="22"/>
        </w:rPr>
        <w:t>ok</w:t>
      </w:r>
      <w:r w:rsidR="00490E63">
        <w:rPr>
          <w:sz w:val="22"/>
          <w:szCs w:val="22"/>
        </w:rPr>
        <w:t xml:space="preserve"> té</w:t>
      </w:r>
      <w:r w:rsidR="00CF4E1F">
        <w:rPr>
          <w:sz w:val="22"/>
          <w:szCs w:val="22"/>
        </w:rPr>
        <w:t>mája:</w:t>
      </w:r>
      <w:r w:rsidR="00490E63">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4536"/>
        <w:gridCol w:w="1559"/>
      </w:tblGrid>
      <w:tr w:rsidR="00C977AC" w:rsidRPr="00347691" w:rsidTr="00CA5C58">
        <w:tc>
          <w:tcPr>
            <w:tcW w:w="2235" w:type="dxa"/>
            <w:tcBorders>
              <w:top w:val="single" w:sz="4" w:space="0" w:color="auto"/>
              <w:left w:val="single" w:sz="4" w:space="0" w:color="auto"/>
              <w:bottom w:val="single" w:sz="4" w:space="0" w:color="auto"/>
              <w:right w:val="single" w:sz="4" w:space="0" w:color="auto"/>
            </w:tcBorders>
          </w:tcPr>
          <w:p w:rsidR="00C977AC" w:rsidRPr="00347691" w:rsidRDefault="00C977AC" w:rsidP="00AF0741">
            <w:pPr>
              <w:jc w:val="both"/>
              <w:rPr>
                <w:b/>
                <w:bCs/>
                <w:sz w:val="22"/>
                <w:szCs w:val="22"/>
              </w:rPr>
            </w:pPr>
            <w:r w:rsidRPr="00347691">
              <w:rPr>
                <w:b/>
                <w:bCs/>
                <w:sz w:val="22"/>
                <w:szCs w:val="22"/>
              </w:rPr>
              <w:t>Az ellenőrzés címe, tárgya</w:t>
            </w:r>
          </w:p>
        </w:tc>
        <w:tc>
          <w:tcPr>
            <w:tcW w:w="4536" w:type="dxa"/>
            <w:tcBorders>
              <w:top w:val="single" w:sz="4" w:space="0" w:color="auto"/>
              <w:left w:val="single" w:sz="4" w:space="0" w:color="auto"/>
              <w:bottom w:val="single" w:sz="4" w:space="0" w:color="auto"/>
              <w:right w:val="single" w:sz="4" w:space="0" w:color="auto"/>
            </w:tcBorders>
          </w:tcPr>
          <w:p w:rsidR="00C977AC" w:rsidRPr="00347691" w:rsidRDefault="00C977AC" w:rsidP="00AF0741">
            <w:pPr>
              <w:jc w:val="center"/>
              <w:rPr>
                <w:b/>
                <w:bCs/>
                <w:sz w:val="22"/>
                <w:szCs w:val="22"/>
              </w:rPr>
            </w:pPr>
            <w:r w:rsidRPr="00347691">
              <w:rPr>
                <w:b/>
                <w:bCs/>
                <w:sz w:val="22"/>
                <w:szCs w:val="22"/>
              </w:rPr>
              <w:t>Az ellenőrzés célja</w:t>
            </w:r>
          </w:p>
        </w:tc>
        <w:tc>
          <w:tcPr>
            <w:tcW w:w="1559" w:type="dxa"/>
            <w:tcBorders>
              <w:top w:val="single" w:sz="4" w:space="0" w:color="auto"/>
              <w:left w:val="single" w:sz="4" w:space="0" w:color="auto"/>
              <w:bottom w:val="single" w:sz="4" w:space="0" w:color="auto"/>
              <w:right w:val="single" w:sz="4" w:space="0" w:color="auto"/>
            </w:tcBorders>
          </w:tcPr>
          <w:p w:rsidR="00C977AC" w:rsidRPr="00347691" w:rsidRDefault="00C977AC" w:rsidP="00AF0741">
            <w:pPr>
              <w:jc w:val="both"/>
              <w:rPr>
                <w:b/>
                <w:bCs/>
                <w:sz w:val="22"/>
                <w:szCs w:val="22"/>
              </w:rPr>
            </w:pPr>
            <w:r w:rsidRPr="00347691">
              <w:rPr>
                <w:b/>
                <w:bCs/>
                <w:sz w:val="22"/>
                <w:szCs w:val="22"/>
              </w:rPr>
              <w:t>Az ellenőrzés módszere</w:t>
            </w:r>
          </w:p>
        </w:tc>
      </w:tr>
      <w:tr w:rsidR="00C977AC" w:rsidRPr="000150B1" w:rsidTr="00CA5C58">
        <w:trPr>
          <w:trHeight w:val="1344"/>
        </w:trPr>
        <w:tc>
          <w:tcPr>
            <w:tcW w:w="2235" w:type="dxa"/>
            <w:tcBorders>
              <w:top w:val="single" w:sz="4" w:space="0" w:color="auto"/>
              <w:left w:val="single" w:sz="4" w:space="0" w:color="auto"/>
              <w:bottom w:val="single" w:sz="4" w:space="0" w:color="auto"/>
              <w:right w:val="single" w:sz="4" w:space="0" w:color="auto"/>
            </w:tcBorders>
          </w:tcPr>
          <w:p w:rsidR="00C977AC" w:rsidRPr="000150B1" w:rsidRDefault="00C977AC" w:rsidP="00AF0741">
            <w:pPr>
              <w:rPr>
                <w:bCs/>
                <w:sz w:val="20"/>
                <w:szCs w:val="20"/>
              </w:rPr>
            </w:pPr>
            <w:r w:rsidRPr="000150B1">
              <w:rPr>
                <w:bCs/>
                <w:sz w:val="20"/>
                <w:szCs w:val="20"/>
              </w:rPr>
              <w:t>Kontrolltevékenység érvényesülése a kötelezettségvállalási folyamatokban</w:t>
            </w:r>
          </w:p>
        </w:tc>
        <w:tc>
          <w:tcPr>
            <w:tcW w:w="4536" w:type="dxa"/>
            <w:tcBorders>
              <w:top w:val="single" w:sz="4" w:space="0" w:color="auto"/>
              <w:left w:val="single" w:sz="4" w:space="0" w:color="auto"/>
              <w:bottom w:val="single" w:sz="4" w:space="0" w:color="auto"/>
              <w:right w:val="single" w:sz="4" w:space="0" w:color="auto"/>
            </w:tcBorders>
          </w:tcPr>
          <w:p w:rsidR="00C977AC" w:rsidRPr="000150B1" w:rsidRDefault="00C977AC" w:rsidP="00AF0741">
            <w:pPr>
              <w:rPr>
                <w:bCs/>
                <w:sz w:val="20"/>
                <w:szCs w:val="20"/>
              </w:rPr>
            </w:pPr>
            <w:r w:rsidRPr="000150B1">
              <w:rPr>
                <w:b/>
                <w:bCs/>
                <w:sz w:val="20"/>
                <w:szCs w:val="20"/>
              </w:rPr>
              <w:t>Célja</w:t>
            </w:r>
            <w:r w:rsidRPr="000150B1">
              <w:rPr>
                <w:sz w:val="20"/>
                <w:szCs w:val="20"/>
              </w:rPr>
              <w:t xml:space="preserve">: </w:t>
            </w:r>
            <w:r w:rsidRPr="000150B1">
              <w:rPr>
                <w:bCs/>
                <w:sz w:val="20"/>
                <w:szCs w:val="20"/>
              </w:rPr>
              <w:t>annak megállapítása, hogy:</w:t>
            </w:r>
          </w:p>
          <w:p w:rsidR="00C977AC" w:rsidRPr="000150B1" w:rsidRDefault="00C977AC" w:rsidP="00AF0741">
            <w:pPr>
              <w:rPr>
                <w:bCs/>
                <w:sz w:val="20"/>
                <w:szCs w:val="20"/>
              </w:rPr>
            </w:pPr>
            <w:r w:rsidRPr="000150B1">
              <w:rPr>
                <w:bCs/>
                <w:sz w:val="20"/>
                <w:szCs w:val="20"/>
              </w:rPr>
              <w:t>- a kötelezettségvállalás kontrollkörnyezetét megfelelően alakították-e ki,</w:t>
            </w:r>
          </w:p>
          <w:p w:rsidR="00C977AC" w:rsidRPr="000150B1" w:rsidRDefault="00C977AC" w:rsidP="00AF0741">
            <w:pPr>
              <w:jc w:val="both"/>
              <w:rPr>
                <w:bCs/>
                <w:sz w:val="20"/>
                <w:szCs w:val="20"/>
              </w:rPr>
            </w:pPr>
            <w:r w:rsidRPr="000150B1">
              <w:rPr>
                <w:bCs/>
                <w:sz w:val="20"/>
                <w:szCs w:val="20"/>
              </w:rPr>
              <w:t xml:space="preserve"> -a gazdálkodás folyamatában kulcsszerepet betöltő kötelezettségvállalás, teljesítés igazolás, utalványozás és érvényesítés rendje megfelelően érvényesül-e a személyi juttatások, dologi és felhalmozási kiadások tekintetében, </w:t>
            </w:r>
          </w:p>
          <w:p w:rsidR="00C977AC" w:rsidRPr="000150B1" w:rsidRDefault="00C977AC" w:rsidP="00AF0741">
            <w:pPr>
              <w:jc w:val="both"/>
              <w:rPr>
                <w:bCs/>
                <w:sz w:val="20"/>
                <w:szCs w:val="20"/>
              </w:rPr>
            </w:pPr>
            <w:r w:rsidRPr="000150B1">
              <w:rPr>
                <w:bCs/>
                <w:sz w:val="20"/>
                <w:szCs w:val="20"/>
              </w:rPr>
              <w:t>- a kontrolltevékenység beépül-e a pénzügyi teljesítés folyamataiba.</w:t>
            </w:r>
          </w:p>
          <w:p w:rsidR="00C977AC" w:rsidRPr="000150B1" w:rsidRDefault="00C977AC" w:rsidP="00AF0741">
            <w:pPr>
              <w:jc w:val="both"/>
              <w:rPr>
                <w:bCs/>
                <w:sz w:val="20"/>
                <w:szCs w:val="20"/>
              </w:rPr>
            </w:pPr>
          </w:p>
        </w:tc>
        <w:tc>
          <w:tcPr>
            <w:tcW w:w="1559" w:type="dxa"/>
            <w:tcBorders>
              <w:top w:val="single" w:sz="4" w:space="0" w:color="auto"/>
              <w:left w:val="single" w:sz="4" w:space="0" w:color="auto"/>
              <w:bottom w:val="single" w:sz="4" w:space="0" w:color="auto"/>
              <w:right w:val="single" w:sz="4" w:space="0" w:color="auto"/>
            </w:tcBorders>
          </w:tcPr>
          <w:p w:rsidR="00C977AC" w:rsidRPr="000150B1" w:rsidRDefault="00C977AC" w:rsidP="00AF0741">
            <w:pPr>
              <w:jc w:val="both"/>
              <w:rPr>
                <w:sz w:val="20"/>
                <w:szCs w:val="20"/>
              </w:rPr>
            </w:pPr>
            <w:r w:rsidRPr="000150B1">
              <w:rPr>
                <w:sz w:val="20"/>
                <w:szCs w:val="20"/>
              </w:rPr>
              <w:t>tételes ellenőrzés</w:t>
            </w:r>
          </w:p>
        </w:tc>
      </w:tr>
    </w:tbl>
    <w:p w:rsidR="00CA5C58" w:rsidRDefault="00CA5C58" w:rsidP="00490E63">
      <w:pPr>
        <w:jc w:val="both"/>
        <w:rPr>
          <w:u w:val="single"/>
        </w:rPr>
      </w:pPr>
    </w:p>
    <w:p w:rsidR="00490E63" w:rsidRPr="000E507E" w:rsidRDefault="00490E63" w:rsidP="00490E63">
      <w:pPr>
        <w:jc w:val="both"/>
        <w:rPr>
          <w:u w:val="single"/>
        </w:rPr>
      </w:pPr>
      <w:r>
        <w:rPr>
          <w:u w:val="single"/>
        </w:rPr>
        <w:lastRenderedPageBreak/>
        <w:t>I/1/b)</w:t>
      </w:r>
      <w:r w:rsidRPr="000E507E">
        <w:rPr>
          <w:u w:val="single"/>
        </w:rPr>
        <w:t xml:space="preserve"> Büntető, szabálysértési, kártérítési, fegyelmi eljárások</w:t>
      </w:r>
    </w:p>
    <w:p w:rsidR="00490E63" w:rsidRDefault="00823540" w:rsidP="00490E63">
      <w:pPr>
        <w:jc w:val="both"/>
      </w:pPr>
      <w:r>
        <w:t>A 20</w:t>
      </w:r>
      <w:r w:rsidR="0027243D">
        <w:t>2</w:t>
      </w:r>
      <w:r w:rsidR="007E7A9B">
        <w:t>4</w:t>
      </w:r>
      <w:r w:rsidR="00490E63">
        <w:t>. évi</w:t>
      </w:r>
      <w:r w:rsidR="00490E63" w:rsidRPr="000E507E">
        <w:t xml:space="preserve"> ellenőrzés</w:t>
      </w:r>
      <w:r w:rsidR="00490E63">
        <w:t>ek</w:t>
      </w:r>
      <w:r w:rsidR="00490E63" w:rsidRPr="000E507E">
        <w:t xml:space="preserve"> során</w:t>
      </w:r>
      <w:r w:rsidR="00490E63">
        <w:t xml:space="preserve"> </w:t>
      </w:r>
      <w:r w:rsidR="00490E63" w:rsidRPr="000E507E">
        <w:t>fegyelmi eljárás megindí</w:t>
      </w:r>
      <w:r w:rsidR="00490E63">
        <w:t>tására okot adó mulasztás, illetve</w:t>
      </w:r>
      <w:r w:rsidR="00490E63" w:rsidRPr="000E507E">
        <w:t xml:space="preserve"> hiányosság megállapítására </w:t>
      </w:r>
      <w:r w:rsidR="00490E63">
        <w:t xml:space="preserve">nem </w:t>
      </w:r>
      <w:r w:rsidR="00490E63" w:rsidRPr="000E507E">
        <w:t>került sor.</w:t>
      </w:r>
    </w:p>
    <w:p w:rsidR="00490E63" w:rsidRDefault="00490E63" w:rsidP="00490E63">
      <w:pPr>
        <w:jc w:val="both"/>
      </w:pPr>
    </w:p>
    <w:p w:rsidR="00490E63" w:rsidRPr="00373BC1" w:rsidRDefault="00490E63" w:rsidP="00490E63">
      <w:pPr>
        <w:jc w:val="both"/>
        <w:rPr>
          <w:u w:val="single"/>
        </w:rPr>
      </w:pPr>
      <w:r>
        <w:rPr>
          <w:u w:val="single"/>
        </w:rPr>
        <w:t xml:space="preserve">I.2./ A bizonyosságot adó tevékenységet elősegítő </w:t>
      </w:r>
      <w:r w:rsidRPr="00373BC1">
        <w:rPr>
          <w:u w:val="single"/>
        </w:rPr>
        <w:t>és akadályozó tényezők</w:t>
      </w:r>
      <w:r>
        <w:rPr>
          <w:u w:val="single"/>
        </w:rPr>
        <w:t xml:space="preserve"> bemutatása</w:t>
      </w:r>
    </w:p>
    <w:p w:rsidR="00490E63" w:rsidRDefault="00490E63" w:rsidP="00490E63">
      <w:pPr>
        <w:jc w:val="both"/>
      </w:pPr>
    </w:p>
    <w:p w:rsidR="00490E63" w:rsidRPr="00BF2D6E" w:rsidRDefault="00490E63" w:rsidP="00490E63">
      <w:pPr>
        <w:jc w:val="both"/>
        <w:rPr>
          <w:u w:val="single"/>
        </w:rPr>
      </w:pPr>
      <w:r w:rsidRPr="00BF2D6E">
        <w:rPr>
          <w:u w:val="single"/>
        </w:rPr>
        <w:t>I/2/a) A belső ellenőrzés humánerőforrás ellátottsága</w:t>
      </w:r>
    </w:p>
    <w:p w:rsidR="00490E63" w:rsidRDefault="00490E63" w:rsidP="00490E63">
      <w:pPr>
        <w:jc w:val="both"/>
      </w:pPr>
      <w:r>
        <w:t>A Ceglédi Közös Önkormányzati Hivatal a</w:t>
      </w:r>
      <w:r w:rsidRPr="00EE1928">
        <w:t xml:space="preserve"> belső ellenőrzési feladatok végrehajtását</w:t>
      </w:r>
      <w:r w:rsidR="00823540">
        <w:t xml:space="preserve"> 20</w:t>
      </w:r>
      <w:r w:rsidR="0027243D">
        <w:t>2</w:t>
      </w:r>
      <w:r w:rsidR="007E7A9B">
        <w:t>4</w:t>
      </w:r>
      <w:r>
        <w:t>. évben</w:t>
      </w:r>
      <w:r w:rsidRPr="00EE1928">
        <w:t xml:space="preserve"> 2 fő</w:t>
      </w:r>
      <w:r>
        <w:t xml:space="preserve"> belső ellenőrrel biztosította, az ellenőrzési kapacitás az ellenőrzés</w:t>
      </w:r>
      <w:r w:rsidR="00823540">
        <w:t>i napok figyelembevételével 0,</w:t>
      </w:r>
      <w:r w:rsidR="0027243D">
        <w:t>15</w:t>
      </w:r>
      <w:r>
        <w:t xml:space="preserve"> fő. A belső ellenőrzési kapacitás elegendőnek bizonyult a tervben meghatározott feladatok ellátásához.</w:t>
      </w:r>
    </w:p>
    <w:p w:rsidR="002D1889" w:rsidRDefault="002D1889" w:rsidP="00490E63">
      <w:pPr>
        <w:jc w:val="both"/>
      </w:pPr>
      <w:r>
        <w:t>A belső ellenőrök képzettségi szintje és gyakorlata megfelelt a 28/2011 (VIII.3.) NGM rendelet előírásainak, a belső ellenőrzést végzők rendelkez</w:t>
      </w:r>
      <w:r w:rsidR="006B2D95">
        <w:t>t</w:t>
      </w:r>
      <w:r>
        <w:t xml:space="preserve">ek az </w:t>
      </w:r>
      <w:proofErr w:type="spellStart"/>
      <w:r>
        <w:t>Aht</w:t>
      </w:r>
      <w:proofErr w:type="spellEnd"/>
      <w:r>
        <w:t xml:space="preserve">. 70.§ (4)-(5) bekezdésében előírt engedéllyel.        </w:t>
      </w:r>
    </w:p>
    <w:p w:rsidR="00490E63" w:rsidRDefault="00490E63" w:rsidP="00490E63">
      <w:pPr>
        <w:jc w:val="both"/>
      </w:pPr>
      <w:r>
        <w:t>A belső ellenőrök az év folyamán több alkalommal vettek részt szakmai továbbképzéseken, a belső ellenőrzési regisztrációhoz kapcsolódó továbbképzési kötelezettségüket teljesítették.</w:t>
      </w:r>
    </w:p>
    <w:p w:rsidR="00490E63" w:rsidRDefault="00490E63" w:rsidP="00490E63">
      <w:pPr>
        <w:jc w:val="both"/>
      </w:pPr>
    </w:p>
    <w:p w:rsidR="00490E63" w:rsidRDefault="00490E63" w:rsidP="00490E63">
      <w:pPr>
        <w:jc w:val="both"/>
        <w:rPr>
          <w:u w:val="single"/>
        </w:rPr>
      </w:pPr>
      <w:r w:rsidRPr="00BF2D6E">
        <w:rPr>
          <w:u w:val="single"/>
        </w:rPr>
        <w:t>I/2/b) A belső ellenőrök szervezeti és funkcionális függetlenségének biztosítása</w:t>
      </w:r>
      <w:r>
        <w:rPr>
          <w:u w:val="single"/>
        </w:rPr>
        <w:t xml:space="preserve"> </w:t>
      </w:r>
    </w:p>
    <w:p w:rsidR="00490E63" w:rsidRDefault="00490E63" w:rsidP="00490E63">
      <w:pPr>
        <w:jc w:val="both"/>
      </w:pPr>
      <w:r>
        <w:t>A belső ellenőrök funkcionális függetlensége nem sérült, mivel az intézményvezetőnek közvetlenül alárendelve végezték tevékenységüket. Az intézményvezető biztosította az éves ellenőrzési terv kidolgozása során, az ellenőrzési program elkészítése és végrehajtása során, az ellenőrzési módszerek kiválasztása során, a következtetések és ajánlások kidolgozása és az ellenőrzési jelentés elkészítése során az ellenőrök függetlenséget.</w:t>
      </w:r>
    </w:p>
    <w:p w:rsidR="00490E63" w:rsidRDefault="00490E63" w:rsidP="00490E63">
      <w:pPr>
        <w:jc w:val="both"/>
      </w:pPr>
      <w:r>
        <w:t>Az óvodavezető a belső ellenőröket a bizonyosságot adó ellenőrzési és tanácsadási tevékenységen kívüli más tevékenységek végrehajtásába nem vonta be.</w:t>
      </w:r>
    </w:p>
    <w:p w:rsidR="00490E63" w:rsidRDefault="00490E63" w:rsidP="00490E63">
      <w:pPr>
        <w:jc w:val="both"/>
      </w:pPr>
    </w:p>
    <w:p w:rsidR="00490E63" w:rsidRDefault="00490E63" w:rsidP="00490E63">
      <w:pPr>
        <w:jc w:val="both"/>
      </w:pPr>
      <w:r>
        <w:rPr>
          <w:u w:val="single"/>
        </w:rPr>
        <w:t>I/2/c) Összeférhetetlenségi esetek</w:t>
      </w:r>
    </w:p>
    <w:p w:rsidR="00490E63" w:rsidRDefault="00490E63" w:rsidP="00490E63">
      <w:pPr>
        <w:jc w:val="both"/>
      </w:pPr>
      <w:r>
        <w:t xml:space="preserve">Az ellenőrzések során a </w:t>
      </w:r>
      <w:proofErr w:type="spellStart"/>
      <w:r>
        <w:t>Bkr</w:t>
      </w:r>
      <w:proofErr w:type="spellEnd"/>
      <w:r>
        <w:t>. 20. §-a szerinti összeférhetetlenségi okok megállapítására nem került sor.</w:t>
      </w:r>
    </w:p>
    <w:p w:rsidR="00490E63" w:rsidRDefault="00490E63" w:rsidP="00490E63">
      <w:pPr>
        <w:jc w:val="both"/>
      </w:pPr>
    </w:p>
    <w:p w:rsidR="00490E63" w:rsidRPr="003A3BA0" w:rsidRDefault="00490E63" w:rsidP="00490E63">
      <w:pPr>
        <w:jc w:val="both"/>
        <w:rPr>
          <w:u w:val="single"/>
        </w:rPr>
      </w:pPr>
      <w:r w:rsidRPr="003A3BA0">
        <w:rPr>
          <w:u w:val="single"/>
        </w:rPr>
        <w:t>I/2/d) A belső ellenőri jogokkal kapcsolatos esetleges korlátozások bemutatása</w:t>
      </w:r>
    </w:p>
    <w:p w:rsidR="00490E63" w:rsidRDefault="00490E63" w:rsidP="00490E63">
      <w:pPr>
        <w:jc w:val="both"/>
      </w:pPr>
      <w:r>
        <w:t xml:space="preserve">Az ellenőrzések során a </w:t>
      </w:r>
      <w:proofErr w:type="spellStart"/>
      <w:r>
        <w:t>Bkr</w:t>
      </w:r>
      <w:proofErr w:type="spellEnd"/>
      <w:r>
        <w:t>. 25.§ a)-e) pontjaiban megfogalmazott, az ellenőr jogosultságait korlátozó intézkedésre nem került sor.</w:t>
      </w:r>
    </w:p>
    <w:p w:rsidR="00490E63" w:rsidRDefault="00490E63" w:rsidP="00490E63">
      <w:pPr>
        <w:jc w:val="both"/>
      </w:pPr>
    </w:p>
    <w:p w:rsidR="00490E63" w:rsidRPr="003A3BA0" w:rsidRDefault="00490E63" w:rsidP="00490E63">
      <w:pPr>
        <w:jc w:val="both"/>
        <w:rPr>
          <w:u w:val="single"/>
        </w:rPr>
      </w:pPr>
      <w:r w:rsidRPr="003A3BA0">
        <w:rPr>
          <w:u w:val="single"/>
        </w:rPr>
        <w:t>I/2/e) A belső ellenőrzés végrehajtását akadályozó tényezők</w:t>
      </w:r>
    </w:p>
    <w:p w:rsidR="00490E63" w:rsidRDefault="00490E63" w:rsidP="00490E63">
      <w:pPr>
        <w:jc w:val="both"/>
      </w:pPr>
      <w:r>
        <w:t>A belső ellenőrzés rendelkezésére bocsátott eszközök (informatikai rendszerek, jogforrások elérése) hozzájárultak a feladat színvonalas ellátásához. Az ellenőrzésekre való felkészülés és az ellenőrzések végrehajtásához szükséges információellátottság megfelelőnek minősíthető. Az ellenőrzések végrehajtását akadályozó tényezők nem merültek fel.</w:t>
      </w:r>
    </w:p>
    <w:p w:rsidR="00490E63" w:rsidRDefault="00490E63" w:rsidP="00490E63">
      <w:pPr>
        <w:jc w:val="both"/>
      </w:pPr>
    </w:p>
    <w:p w:rsidR="00490E63" w:rsidRPr="002D6A8B" w:rsidRDefault="00490E63" w:rsidP="00490E63">
      <w:pPr>
        <w:jc w:val="both"/>
        <w:rPr>
          <w:u w:val="single"/>
        </w:rPr>
      </w:pPr>
      <w:r w:rsidRPr="002D6A8B">
        <w:rPr>
          <w:u w:val="single"/>
        </w:rPr>
        <w:t>I/2/f) Az ellenőrzések nyilvántartása</w:t>
      </w:r>
    </w:p>
    <w:p w:rsidR="00490E63" w:rsidRDefault="00490E63" w:rsidP="00490E63">
      <w:pPr>
        <w:jc w:val="both"/>
      </w:pPr>
      <w:r>
        <w:t>Az ellenőrzések nyilvántartás</w:t>
      </w:r>
      <w:r w:rsidR="006B2D95">
        <w:t>a</w:t>
      </w:r>
      <w:r>
        <w:t xml:space="preserve"> a </w:t>
      </w:r>
      <w:proofErr w:type="spellStart"/>
      <w:r>
        <w:t>Bkr</w:t>
      </w:r>
      <w:proofErr w:type="spellEnd"/>
      <w:r>
        <w:t>. 22. és 50. §-</w:t>
      </w:r>
      <w:proofErr w:type="spellStart"/>
      <w:r>
        <w:t>ai</w:t>
      </w:r>
      <w:proofErr w:type="spellEnd"/>
      <w:r>
        <w:t xml:space="preserve"> szerint került </w:t>
      </w:r>
      <w:r w:rsidR="006B2D95">
        <w:t>kialakításra</w:t>
      </w:r>
      <w:r>
        <w:t>. A belső ellenőrzési vezető gondoskodott a megfelelő nyilvántartás vezetéséről az elvégzett belső ellenőrzések tekintetében, illetve gondoskodott az ellenőrzési dokumentumok megőrzéséről.</w:t>
      </w:r>
    </w:p>
    <w:p w:rsidR="00490E63" w:rsidRDefault="00490E63" w:rsidP="00490E63">
      <w:pPr>
        <w:jc w:val="both"/>
      </w:pPr>
      <w:r>
        <w:t xml:space="preserve">   </w:t>
      </w:r>
    </w:p>
    <w:p w:rsidR="00B32E45" w:rsidRPr="001C08EE" w:rsidRDefault="00490E63" w:rsidP="00490E63">
      <w:pPr>
        <w:jc w:val="both"/>
        <w:rPr>
          <w:u w:val="single"/>
        </w:rPr>
      </w:pPr>
      <w:r w:rsidRPr="001C08EE">
        <w:rPr>
          <w:u w:val="single"/>
        </w:rPr>
        <w:t>I/2/q) Az ellenőrzési tevékenység fejlesztésére vonatkozó javaslatok</w:t>
      </w:r>
    </w:p>
    <w:p w:rsidR="00490E63" w:rsidRDefault="00490E63" w:rsidP="00490E63">
      <w:pPr>
        <w:jc w:val="both"/>
      </w:pPr>
      <w:r>
        <w:t>Az ellenőr</w:t>
      </w:r>
      <w:r w:rsidR="00B32E45">
        <w:t>zési rendszer fejlesztésére 20</w:t>
      </w:r>
      <w:r w:rsidR="00FB358B">
        <w:t>2</w:t>
      </w:r>
      <w:r w:rsidR="00782384">
        <w:t>4</w:t>
      </w:r>
      <w:r>
        <w:t xml:space="preserve">. évben nem került sor, a tevékenység fejlesztését az intézményvezető nem tervezi. </w:t>
      </w:r>
    </w:p>
    <w:p w:rsidR="00B32E45" w:rsidRDefault="00B32E45" w:rsidP="00490E63">
      <w:pPr>
        <w:jc w:val="both"/>
      </w:pPr>
    </w:p>
    <w:p w:rsidR="00AB0C8D" w:rsidRDefault="00AB0C8D" w:rsidP="00490E63">
      <w:pPr>
        <w:jc w:val="both"/>
      </w:pPr>
    </w:p>
    <w:p w:rsidR="00490E63" w:rsidRDefault="00490E63" w:rsidP="00490E63">
      <w:pPr>
        <w:jc w:val="both"/>
        <w:rPr>
          <w:u w:val="single"/>
        </w:rPr>
      </w:pPr>
      <w:r>
        <w:rPr>
          <w:u w:val="single"/>
        </w:rPr>
        <w:lastRenderedPageBreak/>
        <w:t>I.3./ A tanácsadó tevékenység bemutatása</w:t>
      </w:r>
    </w:p>
    <w:p w:rsidR="00490E63" w:rsidRDefault="00C959C8" w:rsidP="00490E63">
      <w:pPr>
        <w:jc w:val="both"/>
      </w:pPr>
      <w:r>
        <w:t>Az óvodánál 20</w:t>
      </w:r>
      <w:r w:rsidR="002A2C1D">
        <w:t>2</w:t>
      </w:r>
      <w:r w:rsidR="00782384">
        <w:t>4</w:t>
      </w:r>
      <w:r>
        <w:t xml:space="preserve">. évben a belső ellenőrzés </w:t>
      </w:r>
      <w:r w:rsidR="00E97CF7">
        <w:t>3</w:t>
      </w:r>
      <w:r>
        <w:t xml:space="preserve"> szakértői</w:t>
      </w:r>
      <w:r w:rsidR="00490E63" w:rsidRPr="00371074">
        <w:t xml:space="preserve"> napot </w:t>
      </w:r>
      <w:r w:rsidR="00490E63">
        <w:t xml:space="preserve">fordított tanácsadásra, mely tanácsadás az intézményvezető szóbeli felkérései alapján jellemzően a folyamatba épített </w:t>
      </w:r>
      <w:r w:rsidR="00AA6154">
        <w:t>kontrolltevékenység</w:t>
      </w:r>
      <w:r w:rsidR="00490E63">
        <w:t xml:space="preserve"> során feltárt problémák értékelésre terjedt ki.           </w:t>
      </w:r>
    </w:p>
    <w:p w:rsidR="00490E63" w:rsidRDefault="00490E63" w:rsidP="00490E63"/>
    <w:p w:rsidR="00490E63" w:rsidRDefault="00490E63" w:rsidP="00490E63">
      <w:pPr>
        <w:jc w:val="both"/>
      </w:pPr>
      <w:r w:rsidRPr="005B1499">
        <w:rPr>
          <w:b/>
          <w:bCs/>
        </w:rPr>
        <w:t>II./</w:t>
      </w:r>
      <w:r>
        <w:rPr>
          <w:b/>
          <w:bCs/>
        </w:rPr>
        <w:t xml:space="preserve"> A belső kontrollrendszer működésének értékelése ellenőrzési tapasztalatok alapján </w:t>
      </w:r>
    </w:p>
    <w:p w:rsidR="00490E63" w:rsidRDefault="00490E63" w:rsidP="00490E63">
      <w:pPr>
        <w:jc w:val="both"/>
        <w:rPr>
          <w:b/>
          <w:bCs/>
        </w:rPr>
      </w:pPr>
    </w:p>
    <w:p w:rsidR="00490E63" w:rsidRDefault="00490E63" w:rsidP="00490E63">
      <w:pPr>
        <w:jc w:val="both"/>
        <w:rPr>
          <w:u w:val="single"/>
        </w:rPr>
      </w:pPr>
      <w:r w:rsidRPr="00512E52">
        <w:t>I</w:t>
      </w:r>
      <w:r w:rsidRPr="00A62437">
        <w:rPr>
          <w:u w:val="single"/>
        </w:rPr>
        <w:t>I.1</w:t>
      </w:r>
      <w:r w:rsidRPr="00A62437">
        <w:rPr>
          <w:b/>
          <w:bCs/>
          <w:u w:val="single"/>
        </w:rPr>
        <w:t xml:space="preserve">/ </w:t>
      </w:r>
      <w:r w:rsidRPr="00A62437">
        <w:rPr>
          <w:u w:val="single"/>
        </w:rPr>
        <w:t>A belső kontrollrendszer szabályszerűségének, gazdaságosságának, hatékonyságának és eredményességének növelése, javítása érdekében tett fontosabb javaslatok</w:t>
      </w:r>
    </w:p>
    <w:p w:rsidR="00EF6CA4" w:rsidRDefault="00EF6CA4" w:rsidP="00EF6CA4">
      <w:bookmarkStart w:id="1" w:name="_Hlk100753969"/>
    </w:p>
    <w:p w:rsidR="00490E63" w:rsidRPr="00EF6CA4" w:rsidRDefault="00EF6CA4" w:rsidP="00EF6CA4">
      <w:pPr>
        <w:rPr>
          <w:sz w:val="20"/>
          <w:szCs w:val="20"/>
        </w:rPr>
      </w:pPr>
      <w:proofErr w:type="spellStart"/>
      <w:proofErr w:type="gramStart"/>
      <w:r>
        <w:rPr>
          <w:sz w:val="20"/>
          <w:szCs w:val="20"/>
        </w:rPr>
        <w:t>Ávr</w:t>
      </w:r>
      <w:proofErr w:type="spellEnd"/>
      <w:r>
        <w:rPr>
          <w:sz w:val="20"/>
          <w:szCs w:val="20"/>
        </w:rPr>
        <w:t>.-</w:t>
      </w:r>
      <w:proofErr w:type="gramEnd"/>
      <w:r>
        <w:rPr>
          <w:sz w:val="20"/>
          <w:szCs w:val="20"/>
        </w:rPr>
        <w:t xml:space="preserve"> </w:t>
      </w:r>
      <w:r w:rsidRPr="00C54240">
        <w:rPr>
          <w:sz w:val="20"/>
          <w:szCs w:val="20"/>
        </w:rPr>
        <w:t>368/2011. (XII.31.) Kormányrendelet - az államháztartásról szóló törvény végrehajtásáról</w:t>
      </w:r>
      <w:bookmarkEnd w:id="1"/>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4"/>
        <w:gridCol w:w="2976"/>
      </w:tblGrid>
      <w:tr w:rsidR="007D768A" w:rsidTr="00F13B2F">
        <w:trPr>
          <w:trHeight w:val="470"/>
        </w:trPr>
        <w:tc>
          <w:tcPr>
            <w:tcW w:w="6204" w:type="dxa"/>
            <w:tcBorders>
              <w:top w:val="single" w:sz="4" w:space="0" w:color="auto"/>
              <w:left w:val="single" w:sz="4" w:space="0" w:color="auto"/>
              <w:bottom w:val="single" w:sz="4" w:space="0" w:color="auto"/>
              <w:right w:val="single" w:sz="4" w:space="0" w:color="auto"/>
            </w:tcBorders>
          </w:tcPr>
          <w:p w:rsidR="007D768A" w:rsidRPr="00D83C2C" w:rsidRDefault="007D768A" w:rsidP="003461BD">
            <w:pPr>
              <w:rPr>
                <w:b/>
                <w:bCs/>
                <w:sz w:val="22"/>
                <w:szCs w:val="22"/>
              </w:rPr>
            </w:pPr>
          </w:p>
          <w:p w:rsidR="007D768A" w:rsidRPr="00D83C2C" w:rsidRDefault="007D768A" w:rsidP="003461BD">
            <w:pPr>
              <w:jc w:val="center"/>
              <w:rPr>
                <w:sz w:val="22"/>
                <w:szCs w:val="22"/>
                <w:u w:val="single"/>
              </w:rPr>
            </w:pPr>
            <w:r w:rsidRPr="00D83C2C">
              <w:rPr>
                <w:b/>
                <w:bCs/>
                <w:sz w:val="22"/>
                <w:szCs w:val="22"/>
              </w:rPr>
              <w:t>Összefoglaló megállapítások</w:t>
            </w:r>
          </w:p>
        </w:tc>
        <w:tc>
          <w:tcPr>
            <w:tcW w:w="2976" w:type="dxa"/>
            <w:tcBorders>
              <w:top w:val="single" w:sz="4" w:space="0" w:color="auto"/>
              <w:left w:val="single" w:sz="4" w:space="0" w:color="auto"/>
              <w:bottom w:val="single" w:sz="4" w:space="0" w:color="auto"/>
              <w:right w:val="single" w:sz="4" w:space="0" w:color="auto"/>
            </w:tcBorders>
          </w:tcPr>
          <w:p w:rsidR="007D768A" w:rsidRPr="00D83C2C" w:rsidRDefault="007D768A" w:rsidP="003461BD">
            <w:pPr>
              <w:rPr>
                <w:b/>
                <w:bCs/>
                <w:sz w:val="22"/>
                <w:szCs w:val="22"/>
              </w:rPr>
            </w:pPr>
          </w:p>
          <w:p w:rsidR="007D768A" w:rsidRPr="00D83C2C" w:rsidRDefault="007D768A" w:rsidP="003461BD">
            <w:pPr>
              <w:jc w:val="center"/>
              <w:rPr>
                <w:b/>
                <w:bCs/>
                <w:sz w:val="22"/>
                <w:szCs w:val="22"/>
              </w:rPr>
            </w:pPr>
            <w:r w:rsidRPr="00D83C2C">
              <w:rPr>
                <w:b/>
                <w:bCs/>
                <w:sz w:val="22"/>
                <w:szCs w:val="22"/>
              </w:rPr>
              <w:t>Javaslatok</w:t>
            </w:r>
          </w:p>
          <w:p w:rsidR="007D768A" w:rsidRPr="00D83C2C" w:rsidRDefault="007D768A" w:rsidP="003461BD">
            <w:pPr>
              <w:jc w:val="center"/>
              <w:rPr>
                <w:sz w:val="22"/>
                <w:szCs w:val="22"/>
                <w:u w:val="single"/>
              </w:rPr>
            </w:pPr>
          </w:p>
        </w:tc>
      </w:tr>
      <w:tr w:rsidR="00AB5412" w:rsidRPr="00192C11" w:rsidTr="00F13B2F">
        <w:tc>
          <w:tcPr>
            <w:tcW w:w="6204" w:type="dxa"/>
            <w:tcBorders>
              <w:top w:val="single" w:sz="4" w:space="0" w:color="auto"/>
              <w:left w:val="single" w:sz="4" w:space="0" w:color="auto"/>
              <w:bottom w:val="single" w:sz="4" w:space="0" w:color="auto"/>
              <w:right w:val="single" w:sz="4" w:space="0" w:color="auto"/>
            </w:tcBorders>
          </w:tcPr>
          <w:p w:rsidR="00AB5412" w:rsidRDefault="00AB5412" w:rsidP="00AB5412">
            <w:pPr>
              <w:jc w:val="both"/>
              <w:rPr>
                <w:bCs/>
                <w:sz w:val="22"/>
                <w:szCs w:val="22"/>
                <w:u w:val="single"/>
              </w:rPr>
            </w:pPr>
            <w:r w:rsidRPr="00416786">
              <w:rPr>
                <w:b/>
                <w:sz w:val="22"/>
                <w:szCs w:val="22"/>
              </w:rPr>
              <w:t xml:space="preserve">Téma: </w:t>
            </w:r>
            <w:r w:rsidRPr="00F13B2F">
              <w:rPr>
                <w:bCs/>
                <w:sz w:val="22"/>
                <w:szCs w:val="22"/>
              </w:rPr>
              <w:t>Kontrolltevékenység érvényesülése a kötelezettségvállalási folyamatokban</w:t>
            </w:r>
          </w:p>
          <w:p w:rsidR="00AB5412" w:rsidRDefault="00AB5412" w:rsidP="00AB5412">
            <w:pPr>
              <w:jc w:val="both"/>
              <w:rPr>
                <w:bCs/>
                <w:sz w:val="20"/>
                <w:szCs w:val="20"/>
              </w:rPr>
            </w:pPr>
          </w:p>
          <w:p w:rsidR="00AB5412" w:rsidRDefault="00AB5412" w:rsidP="00AB5412">
            <w:pPr>
              <w:contextualSpacing/>
              <w:jc w:val="both"/>
              <w:rPr>
                <w:rFonts w:eastAsia="Calibri"/>
                <w:sz w:val="22"/>
                <w:szCs w:val="22"/>
                <w:lang w:eastAsia="en-US"/>
              </w:rPr>
            </w:pPr>
            <w:r w:rsidRPr="00CB5902">
              <w:rPr>
                <w:rFonts w:eastAsia="Calibri"/>
                <w:sz w:val="22"/>
                <w:szCs w:val="22"/>
                <w:lang w:eastAsia="en-US"/>
              </w:rPr>
              <w:t>Az ellenőrzés megállapította, hogy az intézménynél a kötelezettségvállalás</w:t>
            </w:r>
            <w:r>
              <w:rPr>
                <w:rFonts w:eastAsia="Calibri"/>
                <w:sz w:val="22"/>
                <w:szCs w:val="22"/>
                <w:lang w:eastAsia="en-US"/>
              </w:rPr>
              <w:t xml:space="preserve"> </w:t>
            </w:r>
            <w:r w:rsidRPr="00CB5902">
              <w:rPr>
                <w:rFonts w:eastAsia="Calibri"/>
                <w:sz w:val="22"/>
                <w:szCs w:val="22"/>
                <w:lang w:eastAsia="en-US"/>
              </w:rPr>
              <w:t xml:space="preserve">kontrollkörnyezetét </w:t>
            </w:r>
            <w:r>
              <w:rPr>
                <w:rFonts w:eastAsia="Calibri"/>
                <w:sz w:val="22"/>
                <w:szCs w:val="22"/>
                <w:lang w:eastAsia="en-US"/>
              </w:rPr>
              <w:t xml:space="preserve">kialakították. Az irányadó dokumentum e tekintetben a </w:t>
            </w:r>
            <w:r w:rsidRPr="00CB5902">
              <w:rPr>
                <w:rFonts w:eastAsia="Calibri"/>
                <w:sz w:val="22"/>
                <w:szCs w:val="22"/>
                <w:lang w:eastAsia="en-US"/>
              </w:rPr>
              <w:t>Gazdálkodási szabályzat</w:t>
            </w:r>
            <w:r>
              <w:rPr>
                <w:rFonts w:eastAsia="Calibri"/>
                <w:sz w:val="22"/>
                <w:szCs w:val="22"/>
                <w:lang w:eastAsia="en-US"/>
              </w:rPr>
              <w:t>, mely a folyamatok leírása mellett tartalmazta az aláírók nyilvántartását és az aláírásra jogosultak aláírásmintáját.</w:t>
            </w:r>
            <w:r w:rsidRPr="00CB5902">
              <w:rPr>
                <w:rFonts w:eastAsia="Calibri"/>
                <w:sz w:val="22"/>
                <w:szCs w:val="22"/>
                <w:lang w:eastAsia="en-US"/>
              </w:rPr>
              <w:t xml:space="preserve"> </w:t>
            </w:r>
          </w:p>
          <w:p w:rsidR="00AB5412" w:rsidRPr="00CB5902" w:rsidRDefault="00AB5412" w:rsidP="00AB5412">
            <w:pPr>
              <w:contextualSpacing/>
              <w:jc w:val="both"/>
              <w:rPr>
                <w:rFonts w:eastAsia="Calibri"/>
                <w:sz w:val="22"/>
                <w:szCs w:val="22"/>
                <w:lang w:eastAsia="en-US"/>
              </w:rPr>
            </w:pPr>
            <w:r>
              <w:rPr>
                <w:rFonts w:eastAsia="Calibri"/>
                <w:sz w:val="22"/>
                <w:szCs w:val="22"/>
                <w:lang w:eastAsia="en-US"/>
              </w:rPr>
              <w:t xml:space="preserve">A szabályzat </w:t>
            </w:r>
            <w:r w:rsidRPr="00CB5902">
              <w:rPr>
                <w:rFonts w:eastAsia="Calibri"/>
                <w:sz w:val="22"/>
                <w:szCs w:val="22"/>
                <w:lang w:eastAsia="en-US"/>
              </w:rPr>
              <w:t xml:space="preserve">az </w:t>
            </w:r>
            <w:r>
              <w:rPr>
                <w:rFonts w:eastAsia="Calibri"/>
                <w:sz w:val="22"/>
                <w:szCs w:val="22"/>
                <w:lang w:eastAsia="en-US"/>
              </w:rPr>
              <w:t>államháztartási jogszabályok</w:t>
            </w:r>
            <w:r w:rsidRPr="00CB5902">
              <w:rPr>
                <w:rFonts w:eastAsia="Calibri"/>
                <w:sz w:val="22"/>
                <w:szCs w:val="22"/>
                <w:lang w:eastAsia="en-US"/>
              </w:rPr>
              <w:t xml:space="preserve"> </w:t>
            </w:r>
            <w:r>
              <w:rPr>
                <w:rFonts w:eastAsia="Calibri"/>
                <w:sz w:val="22"/>
                <w:szCs w:val="22"/>
                <w:lang w:eastAsia="en-US"/>
              </w:rPr>
              <w:t>alapján került kialakításra</w:t>
            </w:r>
            <w:r w:rsidRPr="00CB5902">
              <w:rPr>
                <w:rFonts w:eastAsia="Calibri"/>
                <w:sz w:val="22"/>
                <w:szCs w:val="22"/>
                <w:lang w:eastAsia="en-US"/>
              </w:rPr>
              <w:t xml:space="preserve">. </w:t>
            </w:r>
          </w:p>
          <w:p w:rsidR="00AB5412" w:rsidRDefault="00AB5412" w:rsidP="00AB5412">
            <w:pPr>
              <w:jc w:val="both"/>
              <w:rPr>
                <w:rFonts w:eastAsia="Calibri"/>
                <w:sz w:val="22"/>
                <w:szCs w:val="22"/>
                <w:lang w:eastAsia="en-US"/>
              </w:rPr>
            </w:pPr>
            <w:r w:rsidRPr="00CB5902">
              <w:rPr>
                <w:rFonts w:eastAsia="Calibri"/>
                <w:sz w:val="22"/>
                <w:szCs w:val="22"/>
                <w:lang w:eastAsia="en-US"/>
              </w:rPr>
              <w:t>A szabályzatba</w:t>
            </w:r>
            <w:r>
              <w:rPr>
                <w:rFonts w:eastAsia="Calibri"/>
                <w:sz w:val="22"/>
                <w:szCs w:val="22"/>
                <w:lang w:eastAsia="en-US"/>
              </w:rPr>
              <w:t xml:space="preserve"> beépült a </w:t>
            </w:r>
            <w:r w:rsidRPr="00CB5902">
              <w:rPr>
                <w:rFonts w:eastAsia="Calibri"/>
                <w:sz w:val="22"/>
                <w:szCs w:val="22"/>
                <w:lang w:eastAsia="en-US"/>
              </w:rPr>
              <w:t>jegyző törvényességi ellenjegyzés</w:t>
            </w:r>
            <w:r>
              <w:rPr>
                <w:rFonts w:eastAsia="Calibri"/>
                <w:sz w:val="22"/>
                <w:szCs w:val="22"/>
                <w:lang w:eastAsia="en-US"/>
              </w:rPr>
              <w:t>e, melyet</w:t>
            </w:r>
            <w:r w:rsidRPr="00CB5902">
              <w:rPr>
                <w:rFonts w:eastAsia="Calibri"/>
                <w:sz w:val="22"/>
                <w:szCs w:val="22"/>
                <w:lang w:eastAsia="en-US"/>
              </w:rPr>
              <w:t xml:space="preserve"> </w:t>
            </w:r>
            <w:r>
              <w:rPr>
                <w:rFonts w:eastAsia="Calibri"/>
                <w:sz w:val="22"/>
                <w:szCs w:val="22"/>
                <w:lang w:eastAsia="en-US"/>
              </w:rPr>
              <w:t xml:space="preserve">hatáskör hiányában </w:t>
            </w:r>
            <w:r w:rsidRPr="00CB5902">
              <w:rPr>
                <w:rFonts w:eastAsia="Calibri"/>
                <w:sz w:val="22"/>
                <w:szCs w:val="22"/>
                <w:lang w:eastAsia="en-US"/>
              </w:rPr>
              <w:t xml:space="preserve">az intézménynél nem </w:t>
            </w:r>
            <w:r>
              <w:rPr>
                <w:rFonts w:eastAsia="Calibri"/>
                <w:sz w:val="22"/>
                <w:szCs w:val="22"/>
                <w:lang w:eastAsia="en-US"/>
              </w:rPr>
              <w:t>gyakorolt</w:t>
            </w:r>
            <w:r w:rsidRPr="00CB5902">
              <w:rPr>
                <w:rFonts w:eastAsia="Calibri"/>
                <w:sz w:val="22"/>
                <w:szCs w:val="22"/>
                <w:lang w:eastAsia="en-US"/>
              </w:rPr>
              <w:t>.</w:t>
            </w:r>
          </w:p>
          <w:p w:rsidR="00AB5412" w:rsidRPr="00100EDA" w:rsidRDefault="00AB5412" w:rsidP="00AB5412">
            <w:pPr>
              <w:jc w:val="both"/>
              <w:rPr>
                <w:rFonts w:eastAsia="Calibri"/>
                <w:sz w:val="22"/>
                <w:szCs w:val="22"/>
                <w:lang w:eastAsia="en-US"/>
              </w:rPr>
            </w:pPr>
            <w:r w:rsidRPr="00100EDA">
              <w:rPr>
                <w:rFonts w:eastAsia="Calibri"/>
                <w:sz w:val="22"/>
                <w:szCs w:val="22"/>
                <w:lang w:eastAsia="en-US"/>
              </w:rPr>
              <w:t xml:space="preserve">Az ellenőrzés megállapította, hogy az aláírás nyilvántartásban nem került aktualizálásra </w:t>
            </w:r>
            <w:r>
              <w:rPr>
                <w:rFonts w:eastAsia="Calibri"/>
                <w:sz w:val="22"/>
                <w:szCs w:val="22"/>
                <w:lang w:eastAsia="en-US"/>
              </w:rPr>
              <w:t>a</w:t>
            </w:r>
            <w:r w:rsidRPr="00100EDA">
              <w:rPr>
                <w:rFonts w:eastAsia="Calibri"/>
                <w:sz w:val="22"/>
                <w:szCs w:val="22"/>
                <w:lang w:eastAsia="en-US"/>
              </w:rPr>
              <w:t xml:space="preserve"> pénzügyi ellenjegyző</w:t>
            </w:r>
            <w:r>
              <w:rPr>
                <w:rFonts w:eastAsia="Calibri"/>
                <w:sz w:val="22"/>
                <w:szCs w:val="22"/>
                <w:lang w:eastAsia="en-US"/>
              </w:rPr>
              <w:t xml:space="preserve"> új </w:t>
            </w:r>
            <w:r w:rsidRPr="00100EDA">
              <w:rPr>
                <w:rFonts w:eastAsia="Calibri"/>
                <w:sz w:val="22"/>
                <w:szCs w:val="22"/>
                <w:lang w:eastAsia="en-US"/>
              </w:rPr>
              <w:t xml:space="preserve">beosztása. </w:t>
            </w:r>
          </w:p>
          <w:p w:rsidR="00AB5412" w:rsidRDefault="00AB5412" w:rsidP="00AB5412">
            <w:pPr>
              <w:jc w:val="both"/>
              <w:rPr>
                <w:rFonts w:eastAsia="Calibri"/>
                <w:sz w:val="22"/>
                <w:szCs w:val="22"/>
                <w:lang w:eastAsia="en-US"/>
              </w:rPr>
            </w:pPr>
            <w:r w:rsidRPr="009D1C6F">
              <w:rPr>
                <w:rFonts w:eastAsia="Calibri"/>
                <w:sz w:val="22"/>
                <w:szCs w:val="22"/>
                <w:lang w:eastAsia="en-US"/>
              </w:rPr>
              <w:t>A kötelezettségvállalási folyamatban</w:t>
            </w:r>
            <w:r>
              <w:rPr>
                <w:rFonts w:eastAsia="Calibri"/>
                <w:sz w:val="22"/>
                <w:szCs w:val="22"/>
                <w:lang w:eastAsia="en-US"/>
              </w:rPr>
              <w:t xml:space="preserve"> aláírási jogosultsággal rendelkezők részére a </w:t>
            </w:r>
            <w:r w:rsidRPr="009D1C6F">
              <w:rPr>
                <w:rFonts w:eastAsia="Calibri"/>
                <w:sz w:val="22"/>
                <w:szCs w:val="22"/>
                <w:lang w:eastAsia="en-US"/>
              </w:rPr>
              <w:t>felhatalmazásokat/kijelöléseket írásos formában adták ki</w:t>
            </w:r>
            <w:r w:rsidR="00EF6CA4">
              <w:rPr>
                <w:rFonts w:eastAsia="Calibri"/>
                <w:sz w:val="22"/>
                <w:szCs w:val="22"/>
                <w:lang w:eastAsia="en-US"/>
              </w:rPr>
              <w:t xml:space="preserve"> az arra jogosult személyek</w:t>
            </w:r>
            <w:r w:rsidRPr="009D1C6F">
              <w:rPr>
                <w:rFonts w:eastAsia="Calibri"/>
                <w:sz w:val="22"/>
                <w:szCs w:val="22"/>
                <w:lang w:eastAsia="en-US"/>
              </w:rPr>
              <w:t>.</w:t>
            </w:r>
          </w:p>
          <w:p w:rsidR="00AB5412" w:rsidRDefault="00AB5412" w:rsidP="00AB5412">
            <w:pPr>
              <w:jc w:val="both"/>
              <w:rPr>
                <w:rFonts w:eastAsia="Calibri"/>
                <w:sz w:val="22"/>
                <w:szCs w:val="22"/>
                <w:lang w:eastAsia="en-US"/>
              </w:rPr>
            </w:pPr>
            <w:r w:rsidRPr="009D1C6F">
              <w:rPr>
                <w:rFonts w:eastAsia="Calibri"/>
                <w:sz w:val="22"/>
                <w:szCs w:val="22"/>
                <w:lang w:eastAsia="en-US"/>
              </w:rPr>
              <w:t xml:space="preserve">Az ellenőrzés megállapította, hogy a kötelezettségvállalások írásba foglalása a Gazdálkodási szabályzat előírása alapján történt. A jogi személlyel kötött visszterhes szerződések </w:t>
            </w:r>
            <w:r>
              <w:rPr>
                <w:rFonts w:eastAsia="Calibri"/>
                <w:sz w:val="22"/>
                <w:szCs w:val="22"/>
                <w:lang w:eastAsia="en-US"/>
              </w:rPr>
              <w:t xml:space="preserve">nem tértek ki </w:t>
            </w:r>
            <w:r w:rsidRPr="009D1C6F">
              <w:rPr>
                <w:rFonts w:eastAsia="Calibri"/>
                <w:sz w:val="22"/>
                <w:szCs w:val="22"/>
                <w:lang w:eastAsia="en-US"/>
              </w:rPr>
              <w:t xml:space="preserve">az </w:t>
            </w:r>
            <w:proofErr w:type="spellStart"/>
            <w:r w:rsidRPr="009D1C6F">
              <w:rPr>
                <w:rFonts w:eastAsia="Calibri"/>
                <w:sz w:val="22"/>
                <w:szCs w:val="22"/>
                <w:lang w:eastAsia="en-US"/>
              </w:rPr>
              <w:t>Ávr</w:t>
            </w:r>
            <w:proofErr w:type="spellEnd"/>
            <w:r w:rsidRPr="009D1C6F">
              <w:rPr>
                <w:rFonts w:eastAsia="Calibri"/>
                <w:sz w:val="22"/>
                <w:szCs w:val="22"/>
                <w:lang w:eastAsia="en-US"/>
              </w:rPr>
              <w:t>. 50.§ (1a) pontjában előírt átláthatósági nyilatkozat</w:t>
            </w:r>
            <w:r>
              <w:rPr>
                <w:rFonts w:eastAsia="Calibri"/>
                <w:sz w:val="22"/>
                <w:szCs w:val="22"/>
                <w:lang w:eastAsia="en-US"/>
              </w:rPr>
              <w:t xml:space="preserve">ra.  </w:t>
            </w:r>
          </w:p>
          <w:p w:rsidR="00AB5412" w:rsidRPr="00DB1429" w:rsidRDefault="00AB5412" w:rsidP="00AB5412">
            <w:pPr>
              <w:jc w:val="both"/>
              <w:rPr>
                <w:rFonts w:eastAsia="Calibri"/>
                <w:sz w:val="22"/>
                <w:szCs w:val="22"/>
                <w:lang w:eastAsia="en-US"/>
              </w:rPr>
            </w:pPr>
            <w:r w:rsidRPr="009D1C6F">
              <w:rPr>
                <w:rFonts w:eastAsia="Calibri"/>
                <w:sz w:val="22"/>
                <w:szCs w:val="22"/>
                <w:lang w:eastAsia="en-US"/>
              </w:rPr>
              <w:t>Az ellenőrzés</w:t>
            </w:r>
            <w:r>
              <w:rPr>
                <w:rFonts w:eastAsia="Calibri"/>
                <w:sz w:val="22"/>
                <w:szCs w:val="22"/>
                <w:lang w:eastAsia="en-US"/>
              </w:rPr>
              <w:t xml:space="preserve"> a mintavételezéssel kiválasztott kötelezettségvállalási bizonylatok esetében néhány alaki hiányosságot állapított meg. </w:t>
            </w:r>
            <w:r w:rsidRPr="009D1C6F">
              <w:rPr>
                <w:rFonts w:eastAsia="Calibri"/>
                <w:sz w:val="22"/>
                <w:szCs w:val="22"/>
                <w:lang w:eastAsia="en-US"/>
              </w:rPr>
              <w:t xml:space="preserve">    </w:t>
            </w:r>
          </w:p>
        </w:tc>
        <w:tc>
          <w:tcPr>
            <w:tcW w:w="2976" w:type="dxa"/>
            <w:tcBorders>
              <w:top w:val="single" w:sz="4" w:space="0" w:color="auto"/>
              <w:left w:val="single" w:sz="4" w:space="0" w:color="auto"/>
              <w:bottom w:val="single" w:sz="4" w:space="0" w:color="auto"/>
              <w:right w:val="single" w:sz="4" w:space="0" w:color="auto"/>
            </w:tcBorders>
          </w:tcPr>
          <w:p w:rsidR="00AB5412" w:rsidRPr="00190605" w:rsidRDefault="00AB5412" w:rsidP="00AB5412">
            <w:pPr>
              <w:jc w:val="both"/>
              <w:rPr>
                <w:rFonts w:eastAsia="Calibri"/>
                <w:sz w:val="22"/>
                <w:szCs w:val="22"/>
                <w:u w:val="single"/>
                <w:lang w:eastAsia="en-US"/>
              </w:rPr>
            </w:pPr>
            <w:r w:rsidRPr="009D1C6F">
              <w:rPr>
                <w:rFonts w:eastAsia="Calibri"/>
                <w:sz w:val="22"/>
                <w:szCs w:val="22"/>
                <w:u w:val="single"/>
                <w:lang w:eastAsia="en-US"/>
              </w:rPr>
              <w:t>Pénzügyi Iroda vezetőjének</w:t>
            </w:r>
          </w:p>
          <w:p w:rsidR="00AB5412" w:rsidRPr="00DB1429" w:rsidRDefault="00AB5412" w:rsidP="00AB5412">
            <w:pPr>
              <w:jc w:val="both"/>
              <w:rPr>
                <w:rFonts w:eastAsia="Calibri"/>
                <w:sz w:val="22"/>
                <w:szCs w:val="22"/>
                <w:lang w:eastAsia="en-US"/>
              </w:rPr>
            </w:pPr>
            <w:r w:rsidRPr="009D1C6F">
              <w:rPr>
                <w:rFonts w:eastAsia="Calibri"/>
                <w:sz w:val="22"/>
                <w:szCs w:val="22"/>
                <w:lang w:eastAsia="en-US"/>
              </w:rPr>
              <w:t>Gondoskodjon a Gazdálkodási szabályzat felülvizsgálatáról a törvényességi ellenjegyzés tekintetében</w:t>
            </w:r>
            <w:r>
              <w:rPr>
                <w:rFonts w:eastAsia="Calibri"/>
                <w:sz w:val="22"/>
                <w:szCs w:val="22"/>
                <w:lang w:eastAsia="en-US"/>
              </w:rPr>
              <w:t xml:space="preserve">, valamint </w:t>
            </w:r>
            <w:r w:rsidRPr="00100EDA">
              <w:rPr>
                <w:rFonts w:eastAsia="Calibri"/>
                <w:sz w:val="22"/>
                <w:szCs w:val="22"/>
                <w:lang w:eastAsia="en-US"/>
              </w:rPr>
              <w:t>az aláírás nyilvántartás aktualizálásáról.</w:t>
            </w:r>
            <w:r w:rsidRPr="009D1C6F">
              <w:rPr>
                <w:rFonts w:eastAsia="Calibri"/>
                <w:sz w:val="22"/>
                <w:szCs w:val="22"/>
                <w:lang w:eastAsia="en-US"/>
              </w:rPr>
              <w:t xml:space="preserve">   </w:t>
            </w:r>
          </w:p>
          <w:p w:rsidR="00AB5412" w:rsidRDefault="00AB5412" w:rsidP="00AB5412">
            <w:pPr>
              <w:jc w:val="both"/>
              <w:rPr>
                <w:sz w:val="20"/>
                <w:szCs w:val="20"/>
              </w:rPr>
            </w:pPr>
          </w:p>
          <w:p w:rsidR="00AB5412" w:rsidRPr="009D1C6F" w:rsidRDefault="00AB5412" w:rsidP="00AB5412">
            <w:pPr>
              <w:jc w:val="both"/>
              <w:rPr>
                <w:rFonts w:eastAsia="Calibri"/>
                <w:sz w:val="22"/>
                <w:szCs w:val="22"/>
                <w:u w:val="single"/>
                <w:lang w:eastAsia="en-US"/>
              </w:rPr>
            </w:pPr>
            <w:r w:rsidRPr="009D1C6F">
              <w:rPr>
                <w:rFonts w:eastAsia="Calibri"/>
                <w:sz w:val="22"/>
                <w:szCs w:val="22"/>
                <w:u w:val="single"/>
                <w:lang w:eastAsia="en-US"/>
              </w:rPr>
              <w:t>Intézményvezetőnek</w:t>
            </w:r>
          </w:p>
          <w:p w:rsidR="00AB5412" w:rsidRDefault="00AB5412" w:rsidP="00AB5412">
            <w:pPr>
              <w:jc w:val="both"/>
              <w:rPr>
                <w:rFonts w:eastAsia="Calibri"/>
                <w:sz w:val="22"/>
                <w:szCs w:val="22"/>
                <w:lang w:eastAsia="en-US"/>
              </w:rPr>
            </w:pPr>
            <w:r w:rsidRPr="009D1C6F">
              <w:rPr>
                <w:rFonts w:eastAsia="Calibri"/>
                <w:sz w:val="22"/>
                <w:szCs w:val="22"/>
                <w:lang w:eastAsia="en-US"/>
              </w:rPr>
              <w:t xml:space="preserve">Gondoskodjon a hatályos szerződések esetében az átláthatósági nyilatkozatok bekéréséről, a jövőbeni ügyleteknél pedig alkalmazza a szerződéskötésnél az </w:t>
            </w:r>
            <w:proofErr w:type="spellStart"/>
            <w:r w:rsidRPr="009D1C6F">
              <w:rPr>
                <w:rFonts w:eastAsia="Calibri"/>
                <w:sz w:val="22"/>
                <w:szCs w:val="22"/>
                <w:lang w:eastAsia="en-US"/>
              </w:rPr>
              <w:t>Ávr</w:t>
            </w:r>
            <w:proofErr w:type="spellEnd"/>
            <w:r w:rsidRPr="009D1C6F">
              <w:rPr>
                <w:rFonts w:eastAsia="Calibri"/>
                <w:sz w:val="22"/>
                <w:szCs w:val="22"/>
                <w:lang w:eastAsia="en-US"/>
              </w:rPr>
              <w:t>. 50. § (1a) előírásait.</w:t>
            </w:r>
          </w:p>
          <w:p w:rsidR="00AB5412" w:rsidRDefault="00AB5412" w:rsidP="00AB5412">
            <w:pPr>
              <w:jc w:val="both"/>
              <w:rPr>
                <w:sz w:val="20"/>
                <w:szCs w:val="20"/>
              </w:rPr>
            </w:pPr>
          </w:p>
          <w:p w:rsidR="00AB5412" w:rsidRPr="009D1C6F" w:rsidRDefault="00AB5412" w:rsidP="00AB5412">
            <w:pPr>
              <w:jc w:val="both"/>
              <w:rPr>
                <w:rFonts w:eastAsia="Calibri"/>
                <w:sz w:val="22"/>
                <w:szCs w:val="22"/>
                <w:u w:val="single"/>
                <w:lang w:eastAsia="en-US"/>
              </w:rPr>
            </w:pPr>
            <w:r w:rsidRPr="009D1C6F">
              <w:rPr>
                <w:rFonts w:eastAsia="Calibri"/>
                <w:sz w:val="22"/>
                <w:szCs w:val="22"/>
                <w:u w:val="single"/>
                <w:lang w:eastAsia="en-US"/>
              </w:rPr>
              <w:t>Intézményvezetőnek</w:t>
            </w:r>
          </w:p>
          <w:p w:rsidR="00AB5412" w:rsidRPr="009D1C6F" w:rsidRDefault="00AB5412" w:rsidP="00AB5412">
            <w:pPr>
              <w:jc w:val="both"/>
              <w:rPr>
                <w:rFonts w:eastAsia="Calibri"/>
                <w:sz w:val="22"/>
                <w:szCs w:val="22"/>
                <w:u w:val="single"/>
                <w:lang w:eastAsia="en-US"/>
              </w:rPr>
            </w:pPr>
            <w:r w:rsidRPr="009D1C6F">
              <w:rPr>
                <w:rFonts w:eastAsia="Calibri"/>
                <w:sz w:val="22"/>
                <w:szCs w:val="22"/>
                <w:u w:val="single"/>
                <w:lang w:eastAsia="en-US"/>
              </w:rPr>
              <w:t>Pénzügyi Iroda vezetőjének</w:t>
            </w:r>
          </w:p>
          <w:p w:rsidR="00AB5412" w:rsidRPr="00D97257" w:rsidRDefault="00AB5412" w:rsidP="00AB5412">
            <w:pPr>
              <w:jc w:val="both"/>
              <w:rPr>
                <w:sz w:val="20"/>
                <w:szCs w:val="20"/>
              </w:rPr>
            </w:pPr>
            <w:r w:rsidRPr="009D1C6F">
              <w:rPr>
                <w:rFonts w:eastAsia="Calibri"/>
                <w:sz w:val="22"/>
                <w:szCs w:val="22"/>
                <w:lang w:eastAsia="en-US"/>
              </w:rPr>
              <w:t>Gondoskodjanak a kontrolltevékenység megfelelő érvényesüléséről a kötelezettségvállalási folyamatokban.</w:t>
            </w:r>
          </w:p>
        </w:tc>
      </w:tr>
    </w:tbl>
    <w:p w:rsidR="00490E63" w:rsidRDefault="00490E63" w:rsidP="00490E63">
      <w:pPr>
        <w:jc w:val="both"/>
        <w:rPr>
          <w:u w:val="single"/>
        </w:rPr>
      </w:pPr>
    </w:p>
    <w:p w:rsidR="00490E63" w:rsidRPr="00A342A9" w:rsidRDefault="00490E63" w:rsidP="00490E63">
      <w:pPr>
        <w:jc w:val="both"/>
        <w:rPr>
          <w:u w:val="single"/>
        </w:rPr>
      </w:pPr>
      <w:r w:rsidRPr="00A62437">
        <w:rPr>
          <w:u w:val="single"/>
        </w:rPr>
        <w:t xml:space="preserve">II.2./ A belső kontrollrendszer öt elemének értékelése  </w:t>
      </w:r>
      <w:r>
        <w:tab/>
      </w:r>
    </w:p>
    <w:p w:rsidR="00490E63" w:rsidRDefault="00490E63" w:rsidP="00490E63">
      <w:pPr>
        <w:jc w:val="both"/>
      </w:pPr>
    </w:p>
    <w:p w:rsidR="00660F7A" w:rsidRDefault="00660F7A" w:rsidP="00660F7A">
      <w:pPr>
        <w:jc w:val="both"/>
      </w:pPr>
      <w:r>
        <w:t>II.2.1./ Kontrollkörnyezet</w:t>
      </w:r>
    </w:p>
    <w:p w:rsidR="00FE0AD5" w:rsidRPr="005C4D53" w:rsidRDefault="00660F7A" w:rsidP="00FE0AD5">
      <w:pPr>
        <w:jc w:val="both"/>
      </w:pPr>
      <w:r>
        <w:t xml:space="preserve">Az óvodánál a kontrollkörnyezetet a jól kialakított szervezeti struktúra, a tevékenységek szabályozottsága, az alkalmazottak részére dokumentáltan meghatározott feladatkörök és felelősségek biztosították. A munkaköri leírásokban a személyre szabott feladatokat meghatározták. A szervezeti struktúra világos, a felelősségi viszonyok egyértelműen kerültek kialakításra. </w:t>
      </w:r>
      <w:r w:rsidR="00FE0AD5" w:rsidRPr="005C4D53">
        <w:t xml:space="preserve">Az ellenőrzés az óvoda kontrollkörnyezetét megfelelőnek értékelte.   </w:t>
      </w:r>
    </w:p>
    <w:p w:rsidR="00660F7A" w:rsidRDefault="00660F7A" w:rsidP="00660F7A">
      <w:pPr>
        <w:jc w:val="both"/>
      </w:pPr>
    </w:p>
    <w:p w:rsidR="00660F7A" w:rsidRDefault="00660F7A" w:rsidP="00660F7A">
      <w:pPr>
        <w:jc w:val="both"/>
      </w:pPr>
      <w:r>
        <w:t>II.2.2./ Kockázatkezelési rendszer</w:t>
      </w:r>
    </w:p>
    <w:p w:rsidR="00660F7A" w:rsidRDefault="00660F7A" w:rsidP="00660F7A">
      <w:pPr>
        <w:jc w:val="both"/>
      </w:pPr>
      <w:r>
        <w:t xml:space="preserve">A </w:t>
      </w:r>
      <w:proofErr w:type="spellStart"/>
      <w:r>
        <w:t>Bkr</w:t>
      </w:r>
      <w:proofErr w:type="spellEnd"/>
      <w:r>
        <w:t xml:space="preserve">. értelmében a kockázatkezelést integráltan, az összes tevékenységre és folyamatra kiterjedően kell elvégezni. Az intézményben az ellenőrzött időszakban a kockázatkezelési rendszer </w:t>
      </w:r>
      <w:r w:rsidR="00D21521">
        <w:t>eljárás rendjét szabályozták</w:t>
      </w:r>
      <w:r>
        <w:t>, a kockázato</w:t>
      </w:r>
      <w:r w:rsidR="002B3839">
        <w:t xml:space="preserve">k felülvizsgálatát </w:t>
      </w:r>
      <w:r w:rsidR="00D21521">
        <w:t>elvégezték</w:t>
      </w:r>
      <w:r>
        <w:t xml:space="preserve">.  </w:t>
      </w:r>
      <w:r w:rsidR="000C553B">
        <w:t xml:space="preserve"> </w:t>
      </w:r>
      <w:r>
        <w:t xml:space="preserve"> </w:t>
      </w:r>
    </w:p>
    <w:p w:rsidR="00660F7A" w:rsidRDefault="00660F7A" w:rsidP="00660F7A">
      <w:pPr>
        <w:jc w:val="both"/>
      </w:pPr>
    </w:p>
    <w:p w:rsidR="00C92A5F" w:rsidRDefault="00C92A5F" w:rsidP="00660F7A">
      <w:pPr>
        <w:jc w:val="both"/>
      </w:pPr>
    </w:p>
    <w:p w:rsidR="00660F7A" w:rsidRDefault="00660F7A" w:rsidP="00660F7A">
      <w:pPr>
        <w:jc w:val="both"/>
      </w:pPr>
      <w:r>
        <w:t>II.2.3./ Kontrolltevékenységek</w:t>
      </w:r>
    </w:p>
    <w:p w:rsidR="00B26D64" w:rsidRDefault="00660F7A" w:rsidP="00B26D64">
      <w:pPr>
        <w:jc w:val="both"/>
      </w:pPr>
      <w:r>
        <w:t xml:space="preserve">A kontrolltevékenységek beépültek a napi folyamatokba. A kontrolltevékenységeket elsődlegesen az óvodavezető biztosította, a folyamatba épített ellenőrzés keretein belül. A kontrolltevékenység egyes elemei az alkalmazottak munkakörébe beépített ellenőrzési feladatok útján érvényesültek. </w:t>
      </w:r>
      <w:r w:rsidR="00FC0C8B">
        <w:t xml:space="preserve">A gazdasági tevékenység kontrolltevékenységeit a gazdálkodási feladatokat ellátó önkormányzati hivatallal együttesen látták el, az intézményvezető és a hivatal által kialakított közös szabályok alapján. </w:t>
      </w:r>
      <w:r w:rsidR="00DD1F8E">
        <w:t>Az ellenőrzés javasolta a kontrolltevékenységek erősítését a kötelezettségvállalási folyamatokban.</w:t>
      </w:r>
    </w:p>
    <w:p w:rsidR="00660F7A" w:rsidRDefault="00660F7A" w:rsidP="00660F7A">
      <w:pPr>
        <w:jc w:val="both"/>
      </w:pPr>
    </w:p>
    <w:p w:rsidR="00660F7A" w:rsidRDefault="00660F7A" w:rsidP="00660F7A">
      <w:pPr>
        <w:jc w:val="both"/>
      </w:pPr>
      <w:r>
        <w:t>II.2.4./ Információ és kommunikációs rendszer</w:t>
      </w:r>
    </w:p>
    <w:p w:rsidR="00660F7A" w:rsidRPr="00934F7B" w:rsidRDefault="00660F7A" w:rsidP="00660F7A">
      <w:pPr>
        <w:jc w:val="both"/>
      </w:pPr>
      <w:r>
        <w:t>Az információ és kommunikációs rendszer megfelelő kialakítása általában biztosította</w:t>
      </w:r>
      <w:r w:rsidRPr="00934F7B">
        <w:t>, hogy a megfelelő információk a megfelelő időb</w:t>
      </w:r>
      <w:r>
        <w:t xml:space="preserve">en eljussanak az illetékes szervezethez, személyhez. Az információáramlást befolyásoló negatív tényezők nem merültek fel.      </w:t>
      </w:r>
    </w:p>
    <w:p w:rsidR="00660F7A" w:rsidRDefault="00660F7A" w:rsidP="00660F7A">
      <w:pPr>
        <w:jc w:val="both"/>
      </w:pPr>
      <w:r>
        <w:t xml:space="preserve">Az iktatási rendszer biztosította az adatok megfelelő rendezettségét, tárolását és archiválását. Az ellenőrzés a beszámolási időszakban nem tett olyan megállapítást, mely az információ és kommunikációs rendszer hiányosságait tárta fel.     </w:t>
      </w:r>
    </w:p>
    <w:p w:rsidR="00660F7A" w:rsidRDefault="00660F7A" w:rsidP="00660F7A">
      <w:pPr>
        <w:jc w:val="both"/>
      </w:pPr>
    </w:p>
    <w:p w:rsidR="00660F7A" w:rsidRDefault="00660F7A" w:rsidP="00660F7A">
      <w:pPr>
        <w:jc w:val="both"/>
      </w:pPr>
      <w:r>
        <w:t>II.2.5./ Monitoring (Nyomon követési rendszer)</w:t>
      </w:r>
    </w:p>
    <w:p w:rsidR="00660F7A" w:rsidRDefault="00660F7A" w:rsidP="00660F7A">
      <w:pPr>
        <w:jc w:val="both"/>
      </w:pPr>
      <w:r>
        <w:t xml:space="preserve">Az óvodavezetőnek </w:t>
      </w:r>
      <w:r w:rsidRPr="00E60F83">
        <w:t>olyan monitoring rendszert</w:t>
      </w:r>
      <w:r>
        <w:t xml:space="preserve"> kell</w:t>
      </w:r>
      <w:r w:rsidRPr="00E60F83">
        <w:t xml:space="preserve"> működtetni, mely lehetővé teszi a szervezet tevékenységének, a célok megvalósításának nyomon k</w:t>
      </w:r>
      <w:r>
        <w:t>övetését. A monitoring rendszer</w:t>
      </w:r>
      <w:r w:rsidRPr="00E60F83">
        <w:t xml:space="preserve"> az operatív tevékenységek keretében megvalósuló folyamatos és eseti nyomon követésből, valamint az operatív tevékenységektől függetlenül műk</w:t>
      </w:r>
      <w:r>
        <w:t>ödő belső ellenőrzésből áll</w:t>
      </w:r>
      <w:r w:rsidR="002777FF">
        <w:t>t</w:t>
      </w:r>
      <w:r>
        <w:t>. A monitoring rendszer részét képező belső ellenőrzés működését az óvoda vezetője a jogszabályban előírt keretek között biztosította.</w:t>
      </w:r>
    </w:p>
    <w:p w:rsidR="00660F7A" w:rsidRDefault="00660F7A" w:rsidP="00660F7A">
      <w:pPr>
        <w:jc w:val="both"/>
      </w:pPr>
    </w:p>
    <w:p w:rsidR="00150D48" w:rsidRDefault="00660F7A" w:rsidP="00660F7A">
      <w:pPr>
        <w:jc w:val="both"/>
        <w:rPr>
          <w:b/>
          <w:bCs/>
        </w:rPr>
      </w:pPr>
      <w:r>
        <w:rPr>
          <w:b/>
          <w:bCs/>
        </w:rPr>
        <w:t>III./ Az intézkedési tervek megvalósítása</w:t>
      </w:r>
    </w:p>
    <w:p w:rsidR="00957A25" w:rsidRDefault="00957A25" w:rsidP="00957A25">
      <w:pPr>
        <w:jc w:val="both"/>
      </w:pPr>
    </w:p>
    <w:p w:rsidR="00235134" w:rsidRPr="000A226D" w:rsidRDefault="00235134" w:rsidP="00235134">
      <w:pPr>
        <w:jc w:val="both"/>
        <w:rPr>
          <w:bCs/>
        </w:rPr>
      </w:pPr>
      <w:r>
        <w:rPr>
          <w:bCs/>
        </w:rPr>
        <w:t xml:space="preserve">      a/ A belső ellenőrzés vizsgálati jelentéseihez kapcsolódó intézkedési tervek megvalósítása</w:t>
      </w:r>
    </w:p>
    <w:p w:rsidR="00235134" w:rsidRDefault="00235134" w:rsidP="00235134">
      <w:pPr>
        <w:jc w:val="both"/>
        <w:rPr>
          <w:b/>
          <w:bCs/>
        </w:rPr>
      </w:pPr>
    </w:p>
    <w:p w:rsidR="00235134" w:rsidRDefault="00235134" w:rsidP="00235134">
      <w:pPr>
        <w:jc w:val="both"/>
      </w:pPr>
      <w:r>
        <w:t xml:space="preserve">A 2023. évi belső ellenőrzés megállapításai nem igényeltek intézkedési terv készítését. </w:t>
      </w:r>
    </w:p>
    <w:p w:rsidR="00235134" w:rsidRDefault="00235134" w:rsidP="00235134">
      <w:pPr>
        <w:jc w:val="both"/>
      </w:pPr>
    </w:p>
    <w:p w:rsidR="00235134" w:rsidRDefault="00235134" w:rsidP="00235134">
      <w:r>
        <w:t xml:space="preserve">      b/ Külső ellenőrzésekhez kapcsolódó intézkedések megvalósítása</w:t>
      </w:r>
    </w:p>
    <w:p w:rsidR="00235134" w:rsidRDefault="00235134" w:rsidP="00235134"/>
    <w:p w:rsidR="00391D5E" w:rsidRDefault="005F70C3" w:rsidP="005F70C3">
      <w:pPr>
        <w:jc w:val="both"/>
      </w:pPr>
      <w:r>
        <w:t xml:space="preserve">Az óvodavezető nyilatkozata szerint az intézményben 2024. évben </w:t>
      </w:r>
      <w:r w:rsidR="00391D5E">
        <w:t xml:space="preserve">az alábbi külső ellenőrzések valósultak meg: </w:t>
      </w:r>
    </w:p>
    <w:p w:rsidR="005F70C3" w:rsidRDefault="00391D5E" w:rsidP="005F70C3">
      <w:pPr>
        <w:jc w:val="both"/>
      </w:pPr>
      <w:r>
        <w:t>1/ I</w:t>
      </w:r>
      <w:r w:rsidR="005F70C3">
        <w:t>rányítói ellenőrzés</w:t>
      </w:r>
      <w:r>
        <w:t xml:space="preserve"> – Cegléd Város Önkormányzata, </w:t>
      </w:r>
      <w:r w:rsidR="005F70C3">
        <w:t xml:space="preserve">megállapításai nem igényeltek intézkedési terv készítését. </w:t>
      </w:r>
    </w:p>
    <w:p w:rsidR="00235134" w:rsidRDefault="009E2F44" w:rsidP="00235134">
      <w:pPr>
        <w:jc w:val="both"/>
      </w:pPr>
      <w:r>
        <w:t xml:space="preserve">2/ </w:t>
      </w:r>
      <w:r w:rsidRPr="009E2F44">
        <w:t>Intézményi tanfelügyelet</w:t>
      </w:r>
      <w:r>
        <w:t xml:space="preserve"> – melyhez a 83/2024. számon készült intézkedési terv. Az intézkedések határideje 2028.08.31.</w:t>
      </w:r>
    </w:p>
    <w:p w:rsidR="007C6D93" w:rsidRDefault="007C6D93" w:rsidP="00957A25">
      <w:pPr>
        <w:jc w:val="both"/>
      </w:pPr>
    </w:p>
    <w:p w:rsidR="00D11200" w:rsidRDefault="00957A25" w:rsidP="00422B8B">
      <w:r>
        <w:t>Cegléd, 202</w:t>
      </w:r>
      <w:r w:rsidR="007C6D93">
        <w:t>5</w:t>
      </w:r>
      <w:r>
        <w:t>. február 14.</w:t>
      </w:r>
    </w:p>
    <w:p w:rsidR="00D11200" w:rsidRDefault="00D11200" w:rsidP="00422B8B"/>
    <w:p w:rsidR="00EB6795" w:rsidRDefault="00422B8B" w:rsidP="00422B8B">
      <w:r w:rsidRPr="00EE1928">
        <w:t xml:space="preserve"> </w:t>
      </w:r>
      <w:r w:rsidR="0014699D">
        <w:t xml:space="preserve">              </w:t>
      </w:r>
      <w:r w:rsidR="00E1649D">
        <w:t xml:space="preserve">  </w:t>
      </w:r>
      <w:r w:rsidR="00EB6795">
        <w:t xml:space="preserve">                                                Jóváhagyta:</w:t>
      </w:r>
    </w:p>
    <w:p w:rsidR="00C82E46" w:rsidRDefault="00C82E46" w:rsidP="00422B8B"/>
    <w:p w:rsidR="00EB6795" w:rsidRDefault="0014699D" w:rsidP="00422B8B">
      <w:r>
        <w:t xml:space="preserve">                                       </w:t>
      </w:r>
      <w:r w:rsidR="00EB6795">
        <w:t xml:space="preserve">                                                     </w:t>
      </w:r>
      <w:r w:rsidR="007B0537">
        <w:t xml:space="preserve">   </w:t>
      </w:r>
      <w:r w:rsidR="002868D8">
        <w:t>Lendvainé Turcsán Ágnes</w:t>
      </w:r>
    </w:p>
    <w:p w:rsidR="009F5D39" w:rsidRDefault="00EB6795" w:rsidP="00422B8B">
      <w:r>
        <w:t xml:space="preserve">                                                                                                        óvodavezető                   </w:t>
      </w:r>
      <w:r w:rsidR="00E1649D">
        <w:t xml:space="preserve"> </w:t>
      </w:r>
      <w:r w:rsidR="00422B8B">
        <w:t xml:space="preserve">                                                                                      </w:t>
      </w:r>
    </w:p>
    <w:sectPr w:rsidR="009F5D3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5AC7" w:rsidRDefault="005F5AC7" w:rsidP="002A5F6A">
      <w:r>
        <w:separator/>
      </w:r>
    </w:p>
  </w:endnote>
  <w:endnote w:type="continuationSeparator" w:id="0">
    <w:p w:rsidR="005F5AC7" w:rsidRDefault="005F5AC7" w:rsidP="002A5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5F6A" w:rsidRPr="002A5F6A" w:rsidRDefault="002A5F6A">
    <w:pPr>
      <w:pStyle w:val="llb"/>
      <w:jc w:val="center"/>
    </w:pPr>
    <w:r>
      <w:rPr>
        <w:color w:val="5B9BD5" w:themeColor="accent1"/>
      </w:rPr>
      <w:t xml:space="preserve"> </w:t>
    </w:r>
    <w:r w:rsidRPr="002A5F6A">
      <w:fldChar w:fldCharType="begin"/>
    </w:r>
    <w:r w:rsidRPr="002A5F6A">
      <w:instrText>PAGE  \* Arabic  \* MERGEFORMAT</w:instrText>
    </w:r>
    <w:r w:rsidRPr="002A5F6A">
      <w:fldChar w:fldCharType="separate"/>
    </w:r>
    <w:r w:rsidR="00197E5F">
      <w:rPr>
        <w:noProof/>
      </w:rPr>
      <w:t>6</w:t>
    </w:r>
    <w:r w:rsidRPr="002A5F6A">
      <w:fldChar w:fldCharType="end"/>
    </w:r>
    <w:r w:rsidRPr="002A5F6A">
      <w:t xml:space="preserve"> / </w:t>
    </w:r>
    <w:r w:rsidR="004965A9">
      <w:rPr>
        <w:noProof/>
      </w:rPr>
      <w:fldChar w:fldCharType="begin"/>
    </w:r>
    <w:r w:rsidR="004965A9">
      <w:rPr>
        <w:noProof/>
      </w:rPr>
      <w:instrText>NUMPAGES  \* Arabic  \* MERGEFORMAT</w:instrText>
    </w:r>
    <w:r w:rsidR="004965A9">
      <w:rPr>
        <w:noProof/>
      </w:rPr>
      <w:fldChar w:fldCharType="separate"/>
    </w:r>
    <w:r w:rsidR="00197E5F">
      <w:rPr>
        <w:noProof/>
      </w:rPr>
      <w:t>6</w:t>
    </w:r>
    <w:r w:rsidR="004965A9">
      <w:rPr>
        <w:noProof/>
      </w:rPr>
      <w:fldChar w:fldCharType="end"/>
    </w:r>
  </w:p>
  <w:p w:rsidR="002A5F6A" w:rsidRDefault="002A5F6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5AC7" w:rsidRDefault="005F5AC7" w:rsidP="002A5F6A">
      <w:r>
        <w:separator/>
      </w:r>
    </w:p>
  </w:footnote>
  <w:footnote w:type="continuationSeparator" w:id="0">
    <w:p w:rsidR="005F5AC7" w:rsidRDefault="005F5AC7" w:rsidP="002A5F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7E557B"/>
    <w:multiLevelType w:val="hybridMultilevel"/>
    <w:tmpl w:val="7116DD3C"/>
    <w:lvl w:ilvl="0" w:tplc="012C3CF2">
      <w:start w:val="2013"/>
      <w:numFmt w:val="bullet"/>
      <w:lvlText w:val="-"/>
      <w:lvlJc w:val="left"/>
      <w:pPr>
        <w:tabs>
          <w:tab w:val="num" w:pos="720"/>
        </w:tabs>
        <w:ind w:left="720" w:hanging="360"/>
      </w:pPr>
      <w:rPr>
        <w:rFonts w:ascii="Times New Roman" w:eastAsia="Times New Roman" w:hAnsi="Times New Roman" w:cs="Times New Roman" w:hint="default"/>
        <w:b/>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B702CA3"/>
    <w:multiLevelType w:val="hybridMultilevel"/>
    <w:tmpl w:val="468493A0"/>
    <w:lvl w:ilvl="0" w:tplc="415237C2">
      <w:start w:val="1"/>
      <w:numFmt w:val="bullet"/>
      <w:lvlText w:val=""/>
      <w:lvlJc w:val="left"/>
      <w:pPr>
        <w:ind w:left="720" w:hanging="36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63D5"/>
    <w:rsid w:val="000130BC"/>
    <w:rsid w:val="000211CA"/>
    <w:rsid w:val="000327F4"/>
    <w:rsid w:val="00032A51"/>
    <w:rsid w:val="00047656"/>
    <w:rsid w:val="00060CC1"/>
    <w:rsid w:val="0007174C"/>
    <w:rsid w:val="0007547C"/>
    <w:rsid w:val="000755CD"/>
    <w:rsid w:val="000764F9"/>
    <w:rsid w:val="00090D2A"/>
    <w:rsid w:val="000911DB"/>
    <w:rsid w:val="000965DB"/>
    <w:rsid w:val="000A0583"/>
    <w:rsid w:val="000A0FB9"/>
    <w:rsid w:val="000B25CE"/>
    <w:rsid w:val="000B3676"/>
    <w:rsid w:val="000B56D0"/>
    <w:rsid w:val="000C553B"/>
    <w:rsid w:val="000E54B7"/>
    <w:rsid w:val="000E65A9"/>
    <w:rsid w:val="000F6707"/>
    <w:rsid w:val="0011004F"/>
    <w:rsid w:val="00132FD8"/>
    <w:rsid w:val="001452C5"/>
    <w:rsid w:val="0014699D"/>
    <w:rsid w:val="00150D48"/>
    <w:rsid w:val="00154E68"/>
    <w:rsid w:val="0015795A"/>
    <w:rsid w:val="00167E83"/>
    <w:rsid w:val="00192C11"/>
    <w:rsid w:val="00197E5F"/>
    <w:rsid w:val="001A118B"/>
    <w:rsid w:val="001A2B31"/>
    <w:rsid w:val="001B742F"/>
    <w:rsid w:val="001B7D76"/>
    <w:rsid w:val="001C2D7E"/>
    <w:rsid w:val="001D1BBF"/>
    <w:rsid w:val="001D7339"/>
    <w:rsid w:val="001E0972"/>
    <w:rsid w:val="001F25FA"/>
    <w:rsid w:val="00203B02"/>
    <w:rsid w:val="002117FE"/>
    <w:rsid w:val="00215BED"/>
    <w:rsid w:val="002237EF"/>
    <w:rsid w:val="0022399E"/>
    <w:rsid w:val="00226582"/>
    <w:rsid w:val="00235134"/>
    <w:rsid w:val="00242AD9"/>
    <w:rsid w:val="00251E4C"/>
    <w:rsid w:val="00262005"/>
    <w:rsid w:val="00265546"/>
    <w:rsid w:val="0027243D"/>
    <w:rsid w:val="0027335C"/>
    <w:rsid w:val="00273E82"/>
    <w:rsid w:val="0027562A"/>
    <w:rsid w:val="002777FF"/>
    <w:rsid w:val="00281609"/>
    <w:rsid w:val="00284416"/>
    <w:rsid w:val="002868D8"/>
    <w:rsid w:val="00291611"/>
    <w:rsid w:val="00292F9F"/>
    <w:rsid w:val="002A2C1D"/>
    <w:rsid w:val="002A3DAA"/>
    <w:rsid w:val="002A5F6A"/>
    <w:rsid w:val="002B1175"/>
    <w:rsid w:val="002B1FE3"/>
    <w:rsid w:val="002B220A"/>
    <w:rsid w:val="002B3839"/>
    <w:rsid w:val="002D1889"/>
    <w:rsid w:val="002D673A"/>
    <w:rsid w:val="002E4A37"/>
    <w:rsid w:val="002F2989"/>
    <w:rsid w:val="002F4C77"/>
    <w:rsid w:val="002F667F"/>
    <w:rsid w:val="00301AED"/>
    <w:rsid w:val="00304106"/>
    <w:rsid w:val="0030762C"/>
    <w:rsid w:val="00317566"/>
    <w:rsid w:val="00325386"/>
    <w:rsid w:val="0033682E"/>
    <w:rsid w:val="00340BD0"/>
    <w:rsid w:val="003612F7"/>
    <w:rsid w:val="003652D5"/>
    <w:rsid w:val="00386E9D"/>
    <w:rsid w:val="003870B1"/>
    <w:rsid w:val="00391D5E"/>
    <w:rsid w:val="003960BF"/>
    <w:rsid w:val="00396237"/>
    <w:rsid w:val="003963D5"/>
    <w:rsid w:val="003A4E70"/>
    <w:rsid w:val="003B0402"/>
    <w:rsid w:val="003D170F"/>
    <w:rsid w:val="003E265A"/>
    <w:rsid w:val="003F4252"/>
    <w:rsid w:val="003F7426"/>
    <w:rsid w:val="00407FAE"/>
    <w:rsid w:val="00422B8B"/>
    <w:rsid w:val="00433F16"/>
    <w:rsid w:val="004340A2"/>
    <w:rsid w:val="0044250D"/>
    <w:rsid w:val="00461C6C"/>
    <w:rsid w:val="00462245"/>
    <w:rsid w:val="00464222"/>
    <w:rsid w:val="004715E3"/>
    <w:rsid w:val="00484000"/>
    <w:rsid w:val="00490E63"/>
    <w:rsid w:val="004958DF"/>
    <w:rsid w:val="004964A1"/>
    <w:rsid w:val="004965A9"/>
    <w:rsid w:val="004B05FE"/>
    <w:rsid w:val="004B1D53"/>
    <w:rsid w:val="004E1049"/>
    <w:rsid w:val="004F0CF2"/>
    <w:rsid w:val="005066D3"/>
    <w:rsid w:val="00506B21"/>
    <w:rsid w:val="005117C2"/>
    <w:rsid w:val="00514134"/>
    <w:rsid w:val="00522D09"/>
    <w:rsid w:val="00523110"/>
    <w:rsid w:val="005243E2"/>
    <w:rsid w:val="00526F44"/>
    <w:rsid w:val="00527017"/>
    <w:rsid w:val="005508E9"/>
    <w:rsid w:val="00567BD7"/>
    <w:rsid w:val="00585E9C"/>
    <w:rsid w:val="00594511"/>
    <w:rsid w:val="005A1A17"/>
    <w:rsid w:val="005A4A8F"/>
    <w:rsid w:val="005B0402"/>
    <w:rsid w:val="005B43C8"/>
    <w:rsid w:val="005B5E2E"/>
    <w:rsid w:val="005C78BA"/>
    <w:rsid w:val="005D51BC"/>
    <w:rsid w:val="005D5C65"/>
    <w:rsid w:val="005E1CED"/>
    <w:rsid w:val="005E4A9D"/>
    <w:rsid w:val="005E5B83"/>
    <w:rsid w:val="005F3553"/>
    <w:rsid w:val="005F5AC7"/>
    <w:rsid w:val="005F70C3"/>
    <w:rsid w:val="00603A96"/>
    <w:rsid w:val="00613787"/>
    <w:rsid w:val="006465B0"/>
    <w:rsid w:val="00656B96"/>
    <w:rsid w:val="00660F7A"/>
    <w:rsid w:val="006A4B38"/>
    <w:rsid w:val="006B2D95"/>
    <w:rsid w:val="006C2112"/>
    <w:rsid w:val="006C29E9"/>
    <w:rsid w:val="006C331D"/>
    <w:rsid w:val="006D6F0C"/>
    <w:rsid w:val="006E3599"/>
    <w:rsid w:val="006E4458"/>
    <w:rsid w:val="006E4467"/>
    <w:rsid w:val="006F6C95"/>
    <w:rsid w:val="007032B4"/>
    <w:rsid w:val="0071359C"/>
    <w:rsid w:val="007136E8"/>
    <w:rsid w:val="00721C33"/>
    <w:rsid w:val="00721F21"/>
    <w:rsid w:val="007260C3"/>
    <w:rsid w:val="00726DBA"/>
    <w:rsid w:val="00732D65"/>
    <w:rsid w:val="00735380"/>
    <w:rsid w:val="00742422"/>
    <w:rsid w:val="0075232D"/>
    <w:rsid w:val="00762759"/>
    <w:rsid w:val="0076600D"/>
    <w:rsid w:val="00770755"/>
    <w:rsid w:val="0077103E"/>
    <w:rsid w:val="00772382"/>
    <w:rsid w:val="00772A88"/>
    <w:rsid w:val="007768A7"/>
    <w:rsid w:val="00780E76"/>
    <w:rsid w:val="00782384"/>
    <w:rsid w:val="007867B7"/>
    <w:rsid w:val="00791EAE"/>
    <w:rsid w:val="007A7FAD"/>
    <w:rsid w:val="007B0537"/>
    <w:rsid w:val="007B13EE"/>
    <w:rsid w:val="007B1E5D"/>
    <w:rsid w:val="007B7F10"/>
    <w:rsid w:val="007C2AAB"/>
    <w:rsid w:val="007C3634"/>
    <w:rsid w:val="007C6D93"/>
    <w:rsid w:val="007D07A2"/>
    <w:rsid w:val="007D32A4"/>
    <w:rsid w:val="007D60A1"/>
    <w:rsid w:val="007D768A"/>
    <w:rsid w:val="007E78F2"/>
    <w:rsid w:val="007E7A9B"/>
    <w:rsid w:val="007F79D0"/>
    <w:rsid w:val="008013C0"/>
    <w:rsid w:val="00823540"/>
    <w:rsid w:val="00851ECE"/>
    <w:rsid w:val="00855565"/>
    <w:rsid w:val="00855F54"/>
    <w:rsid w:val="00867C91"/>
    <w:rsid w:val="0088176A"/>
    <w:rsid w:val="008903B4"/>
    <w:rsid w:val="00893AA1"/>
    <w:rsid w:val="008B652F"/>
    <w:rsid w:val="008C003A"/>
    <w:rsid w:val="008C270B"/>
    <w:rsid w:val="008C29FF"/>
    <w:rsid w:val="008E3009"/>
    <w:rsid w:val="00904818"/>
    <w:rsid w:val="0090644C"/>
    <w:rsid w:val="00911FE2"/>
    <w:rsid w:val="00913DCD"/>
    <w:rsid w:val="00916D23"/>
    <w:rsid w:val="00940B2F"/>
    <w:rsid w:val="009462A4"/>
    <w:rsid w:val="00946D41"/>
    <w:rsid w:val="00952A1C"/>
    <w:rsid w:val="00956348"/>
    <w:rsid w:val="00957A25"/>
    <w:rsid w:val="00982A19"/>
    <w:rsid w:val="009979F1"/>
    <w:rsid w:val="009B02FA"/>
    <w:rsid w:val="009B0476"/>
    <w:rsid w:val="009B2939"/>
    <w:rsid w:val="009B3B50"/>
    <w:rsid w:val="009C0644"/>
    <w:rsid w:val="009C120E"/>
    <w:rsid w:val="009C73AE"/>
    <w:rsid w:val="009D2947"/>
    <w:rsid w:val="009D4244"/>
    <w:rsid w:val="009D715B"/>
    <w:rsid w:val="009E2DE2"/>
    <w:rsid w:val="009E2F44"/>
    <w:rsid w:val="009F22B9"/>
    <w:rsid w:val="009F5D39"/>
    <w:rsid w:val="009F6C32"/>
    <w:rsid w:val="00A27A02"/>
    <w:rsid w:val="00A323BE"/>
    <w:rsid w:val="00A400C1"/>
    <w:rsid w:val="00A46276"/>
    <w:rsid w:val="00A557A9"/>
    <w:rsid w:val="00A57A50"/>
    <w:rsid w:val="00A616A1"/>
    <w:rsid w:val="00A64A19"/>
    <w:rsid w:val="00A963B8"/>
    <w:rsid w:val="00AA5CAF"/>
    <w:rsid w:val="00AA6154"/>
    <w:rsid w:val="00AB0381"/>
    <w:rsid w:val="00AB0C8D"/>
    <w:rsid w:val="00AB5412"/>
    <w:rsid w:val="00AC13B7"/>
    <w:rsid w:val="00AC6B30"/>
    <w:rsid w:val="00AD04A9"/>
    <w:rsid w:val="00AD1896"/>
    <w:rsid w:val="00AD39CE"/>
    <w:rsid w:val="00AE0B5B"/>
    <w:rsid w:val="00AE33EE"/>
    <w:rsid w:val="00B002BA"/>
    <w:rsid w:val="00B20F1E"/>
    <w:rsid w:val="00B24AA0"/>
    <w:rsid w:val="00B24FAE"/>
    <w:rsid w:val="00B26D64"/>
    <w:rsid w:val="00B26FFE"/>
    <w:rsid w:val="00B32E45"/>
    <w:rsid w:val="00B34F82"/>
    <w:rsid w:val="00B43EDB"/>
    <w:rsid w:val="00B53EF2"/>
    <w:rsid w:val="00B64739"/>
    <w:rsid w:val="00B649F7"/>
    <w:rsid w:val="00B66130"/>
    <w:rsid w:val="00B73BB9"/>
    <w:rsid w:val="00B90A98"/>
    <w:rsid w:val="00BA0B8F"/>
    <w:rsid w:val="00BA2917"/>
    <w:rsid w:val="00BA56E3"/>
    <w:rsid w:val="00BB3EF1"/>
    <w:rsid w:val="00BB49EF"/>
    <w:rsid w:val="00BC1B44"/>
    <w:rsid w:val="00BC2055"/>
    <w:rsid w:val="00BD6FA8"/>
    <w:rsid w:val="00BE0C72"/>
    <w:rsid w:val="00C01FE6"/>
    <w:rsid w:val="00C03894"/>
    <w:rsid w:val="00C12B59"/>
    <w:rsid w:val="00C17022"/>
    <w:rsid w:val="00C3200D"/>
    <w:rsid w:val="00C34BE9"/>
    <w:rsid w:val="00C446B1"/>
    <w:rsid w:val="00C61090"/>
    <w:rsid w:val="00C66B13"/>
    <w:rsid w:val="00C67031"/>
    <w:rsid w:val="00C72EEE"/>
    <w:rsid w:val="00C82328"/>
    <w:rsid w:val="00C82E46"/>
    <w:rsid w:val="00C92A5F"/>
    <w:rsid w:val="00C959C8"/>
    <w:rsid w:val="00C977AC"/>
    <w:rsid w:val="00CA5A39"/>
    <w:rsid w:val="00CA5C58"/>
    <w:rsid w:val="00CC5504"/>
    <w:rsid w:val="00CD2D3F"/>
    <w:rsid w:val="00CD7269"/>
    <w:rsid w:val="00CE26CC"/>
    <w:rsid w:val="00CE2C19"/>
    <w:rsid w:val="00CE4EA0"/>
    <w:rsid w:val="00CE5337"/>
    <w:rsid w:val="00CF0498"/>
    <w:rsid w:val="00CF4E1F"/>
    <w:rsid w:val="00D03A99"/>
    <w:rsid w:val="00D11200"/>
    <w:rsid w:val="00D17061"/>
    <w:rsid w:val="00D21521"/>
    <w:rsid w:val="00D267F8"/>
    <w:rsid w:val="00D3219E"/>
    <w:rsid w:val="00D34E78"/>
    <w:rsid w:val="00D44137"/>
    <w:rsid w:val="00D44968"/>
    <w:rsid w:val="00D64C73"/>
    <w:rsid w:val="00D736D4"/>
    <w:rsid w:val="00D76838"/>
    <w:rsid w:val="00D85700"/>
    <w:rsid w:val="00DB7815"/>
    <w:rsid w:val="00DC64AA"/>
    <w:rsid w:val="00DD1F8E"/>
    <w:rsid w:val="00DD3150"/>
    <w:rsid w:val="00DD39AF"/>
    <w:rsid w:val="00DE40D9"/>
    <w:rsid w:val="00DE4346"/>
    <w:rsid w:val="00DF1283"/>
    <w:rsid w:val="00DF1B8B"/>
    <w:rsid w:val="00DF73A9"/>
    <w:rsid w:val="00E079CD"/>
    <w:rsid w:val="00E160FC"/>
    <w:rsid w:val="00E1649D"/>
    <w:rsid w:val="00E1701E"/>
    <w:rsid w:val="00E4296F"/>
    <w:rsid w:val="00E45DDE"/>
    <w:rsid w:val="00E46283"/>
    <w:rsid w:val="00E474E5"/>
    <w:rsid w:val="00E531FE"/>
    <w:rsid w:val="00E55282"/>
    <w:rsid w:val="00E77D90"/>
    <w:rsid w:val="00E80D1F"/>
    <w:rsid w:val="00E86557"/>
    <w:rsid w:val="00E90ABA"/>
    <w:rsid w:val="00E90DD0"/>
    <w:rsid w:val="00E943A8"/>
    <w:rsid w:val="00E97CF7"/>
    <w:rsid w:val="00EA667C"/>
    <w:rsid w:val="00EA72BE"/>
    <w:rsid w:val="00EB07AB"/>
    <w:rsid w:val="00EB41C6"/>
    <w:rsid w:val="00EB6795"/>
    <w:rsid w:val="00EC54AF"/>
    <w:rsid w:val="00ED5CA4"/>
    <w:rsid w:val="00ED6FB1"/>
    <w:rsid w:val="00EE0D95"/>
    <w:rsid w:val="00EE1A33"/>
    <w:rsid w:val="00EE64F5"/>
    <w:rsid w:val="00EF0F77"/>
    <w:rsid w:val="00EF37BE"/>
    <w:rsid w:val="00EF6CA4"/>
    <w:rsid w:val="00F001AC"/>
    <w:rsid w:val="00F06AD7"/>
    <w:rsid w:val="00F07395"/>
    <w:rsid w:val="00F13B2F"/>
    <w:rsid w:val="00F14E9D"/>
    <w:rsid w:val="00F17A5D"/>
    <w:rsid w:val="00F25469"/>
    <w:rsid w:val="00F316B9"/>
    <w:rsid w:val="00F419C6"/>
    <w:rsid w:val="00F51AE4"/>
    <w:rsid w:val="00F531AF"/>
    <w:rsid w:val="00F568F5"/>
    <w:rsid w:val="00F57734"/>
    <w:rsid w:val="00F64896"/>
    <w:rsid w:val="00F64B71"/>
    <w:rsid w:val="00F65B24"/>
    <w:rsid w:val="00F6747D"/>
    <w:rsid w:val="00F725F3"/>
    <w:rsid w:val="00F807FD"/>
    <w:rsid w:val="00F8345D"/>
    <w:rsid w:val="00F90879"/>
    <w:rsid w:val="00F921F2"/>
    <w:rsid w:val="00F95C02"/>
    <w:rsid w:val="00FA42C3"/>
    <w:rsid w:val="00FB358B"/>
    <w:rsid w:val="00FC0C8B"/>
    <w:rsid w:val="00FC2512"/>
    <w:rsid w:val="00FD5943"/>
    <w:rsid w:val="00FD5C56"/>
    <w:rsid w:val="00FE03AE"/>
    <w:rsid w:val="00FE0AD5"/>
    <w:rsid w:val="00FF231A"/>
    <w:rsid w:val="00FF25F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0ECF5"/>
  <w15:docId w15:val="{EB2C13E6-B5A2-4D43-A317-F263BE4B7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422B8B"/>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harChar1Char">
    <w:name w:val="Char Char1 Char"/>
    <w:basedOn w:val="Norml"/>
    <w:rsid w:val="00422B8B"/>
    <w:pPr>
      <w:spacing w:after="160" w:line="240" w:lineRule="exact"/>
    </w:pPr>
    <w:rPr>
      <w:rFonts w:ascii="Univers" w:eastAsia="MS Mincho" w:hAnsi="Univers"/>
      <w:i/>
      <w:lang w:val="en-US" w:eastAsia="en-US"/>
    </w:rPr>
  </w:style>
  <w:style w:type="paragraph" w:styleId="Listaszerbekezds">
    <w:name w:val="List Paragraph"/>
    <w:basedOn w:val="Norml"/>
    <w:link w:val="ListaszerbekezdsChar"/>
    <w:uiPriority w:val="34"/>
    <w:qFormat/>
    <w:rsid w:val="00422B8B"/>
    <w:pPr>
      <w:spacing w:after="200" w:line="276" w:lineRule="auto"/>
      <w:ind w:left="720"/>
      <w:contextualSpacing/>
    </w:pPr>
    <w:rPr>
      <w:rFonts w:ascii="Calibri" w:eastAsia="Calibri" w:hAnsi="Calibri"/>
      <w:sz w:val="22"/>
      <w:szCs w:val="22"/>
      <w:lang w:eastAsia="en-US"/>
    </w:rPr>
  </w:style>
  <w:style w:type="character" w:customStyle="1" w:styleId="ListaszerbekezdsChar">
    <w:name w:val="Listaszerű bekezdés Char"/>
    <w:link w:val="Listaszerbekezds"/>
    <w:uiPriority w:val="34"/>
    <w:rsid w:val="00422B8B"/>
    <w:rPr>
      <w:rFonts w:ascii="Calibri" w:eastAsia="Calibri" w:hAnsi="Calibri" w:cs="Times New Roman"/>
    </w:rPr>
  </w:style>
  <w:style w:type="paragraph" w:customStyle="1" w:styleId="cf0agj">
    <w:name w:val="cf0 agj"/>
    <w:basedOn w:val="Norml"/>
    <w:rsid w:val="00422B8B"/>
    <w:pPr>
      <w:spacing w:before="100" w:beforeAutospacing="1" w:after="100" w:afterAutospacing="1"/>
    </w:pPr>
  </w:style>
  <w:style w:type="paragraph" w:styleId="NormlWeb">
    <w:name w:val="Normal (Web)"/>
    <w:basedOn w:val="Norml"/>
    <w:rsid w:val="00E46283"/>
    <w:pPr>
      <w:spacing w:before="100" w:beforeAutospacing="1" w:after="100" w:afterAutospacing="1"/>
    </w:pPr>
  </w:style>
  <w:style w:type="paragraph" w:styleId="lfej">
    <w:name w:val="header"/>
    <w:basedOn w:val="Norml"/>
    <w:link w:val="lfejChar"/>
    <w:uiPriority w:val="99"/>
    <w:unhideWhenUsed/>
    <w:rsid w:val="002A5F6A"/>
    <w:pPr>
      <w:tabs>
        <w:tab w:val="center" w:pos="4536"/>
        <w:tab w:val="right" w:pos="9072"/>
      </w:tabs>
    </w:pPr>
  </w:style>
  <w:style w:type="character" w:customStyle="1" w:styleId="lfejChar">
    <w:name w:val="Élőfej Char"/>
    <w:basedOn w:val="Bekezdsalapbettpusa"/>
    <w:link w:val="lfej"/>
    <w:uiPriority w:val="99"/>
    <w:rsid w:val="002A5F6A"/>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2A5F6A"/>
    <w:pPr>
      <w:tabs>
        <w:tab w:val="center" w:pos="4536"/>
        <w:tab w:val="right" w:pos="9072"/>
      </w:tabs>
    </w:pPr>
  </w:style>
  <w:style w:type="character" w:customStyle="1" w:styleId="llbChar">
    <w:name w:val="Élőláb Char"/>
    <w:basedOn w:val="Bekezdsalapbettpusa"/>
    <w:link w:val="llb"/>
    <w:uiPriority w:val="99"/>
    <w:rsid w:val="002A5F6A"/>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823540"/>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823540"/>
    <w:rPr>
      <w:rFonts w:ascii="Segoe UI" w:eastAsia="Times New Roman" w:hAnsi="Segoe UI" w:cs="Segoe UI"/>
      <w:sz w:val="18"/>
      <w:szCs w:val="18"/>
      <w:lang w:eastAsia="hu-HU"/>
    </w:rPr>
  </w:style>
  <w:style w:type="table" w:styleId="Rcsostblzat">
    <w:name w:val="Table Grid"/>
    <w:basedOn w:val="Normltblzat"/>
    <w:uiPriority w:val="39"/>
    <w:rsid w:val="00AE0B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95AA3-3DD1-41E7-91FF-B2C146F27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1100</TotalTime>
  <Pages>4</Pages>
  <Words>1480</Words>
  <Characters>10214</Characters>
  <Application>Microsoft Office Word</Application>
  <DocSecurity>0</DocSecurity>
  <Lines>85</Lines>
  <Paragraphs>23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Windows-felhasználó</dc:creator>
  <cp:keywords/>
  <dc:description/>
  <cp:lastModifiedBy>Steiger Rita</cp:lastModifiedBy>
  <cp:revision>325</cp:revision>
  <cp:lastPrinted>2025-04-23T07:29:00Z</cp:lastPrinted>
  <dcterms:created xsi:type="dcterms:W3CDTF">2018-05-02T14:47:00Z</dcterms:created>
  <dcterms:modified xsi:type="dcterms:W3CDTF">2025-04-24T10:27:00Z</dcterms:modified>
</cp:coreProperties>
</file>