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65" w:rsidRPr="00D24C65" w:rsidRDefault="00D24C65" w:rsidP="00D24C65">
      <w:pPr>
        <w:rPr>
          <w:sz w:val="22"/>
          <w:szCs w:val="22"/>
        </w:rPr>
      </w:pPr>
      <w:r>
        <w:rPr>
          <w:sz w:val="22"/>
          <w:szCs w:val="22"/>
        </w:rPr>
        <w:t xml:space="preserve">Iktatószám: </w:t>
      </w:r>
      <w:r w:rsidR="0009701D">
        <w:rPr>
          <w:sz w:val="22"/>
          <w:szCs w:val="22"/>
        </w:rPr>
        <w:t>26505</w:t>
      </w:r>
      <w:bookmarkStart w:id="0" w:name="_GoBack"/>
      <w:bookmarkEnd w:id="0"/>
      <w:r w:rsidR="001D227D">
        <w:rPr>
          <w:sz w:val="22"/>
          <w:szCs w:val="22"/>
        </w:rPr>
        <w:t>/202</w:t>
      </w:r>
      <w:r w:rsidR="00A9432C">
        <w:rPr>
          <w:sz w:val="22"/>
          <w:szCs w:val="22"/>
        </w:rPr>
        <w:t>5</w:t>
      </w:r>
      <w:r w:rsidR="00862C94">
        <w:rPr>
          <w:sz w:val="22"/>
          <w:szCs w:val="22"/>
        </w:rPr>
        <w:t>.</w:t>
      </w:r>
    </w:p>
    <w:p w:rsidR="00D24C65" w:rsidRPr="00FD29F4" w:rsidRDefault="00D24C65" w:rsidP="00C67031">
      <w:pPr>
        <w:jc w:val="center"/>
        <w:rPr>
          <w:b/>
        </w:rPr>
      </w:pPr>
    </w:p>
    <w:p w:rsidR="001E6867" w:rsidRPr="00D24C65" w:rsidRDefault="00C67031" w:rsidP="009D554B">
      <w:pPr>
        <w:jc w:val="center"/>
        <w:rPr>
          <w:b/>
          <w:sz w:val="28"/>
          <w:szCs w:val="28"/>
        </w:rPr>
      </w:pPr>
      <w:r w:rsidRPr="00E1649D">
        <w:rPr>
          <w:b/>
          <w:sz w:val="28"/>
          <w:szCs w:val="28"/>
        </w:rPr>
        <w:t xml:space="preserve">Összefoglaló jelentés </w:t>
      </w:r>
      <w:r w:rsidR="009D554B">
        <w:rPr>
          <w:b/>
          <w:sz w:val="28"/>
          <w:szCs w:val="28"/>
        </w:rPr>
        <w:t xml:space="preserve">a Ceglédi Városi </w:t>
      </w:r>
      <w:r w:rsidR="00D24C65">
        <w:rPr>
          <w:b/>
          <w:sz w:val="28"/>
          <w:szCs w:val="28"/>
        </w:rPr>
        <w:t xml:space="preserve">Könyvtár </w:t>
      </w:r>
    </w:p>
    <w:p w:rsidR="00E1649D" w:rsidRDefault="001D227D" w:rsidP="00E1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0531BD">
        <w:rPr>
          <w:b/>
          <w:sz w:val="28"/>
          <w:szCs w:val="28"/>
        </w:rPr>
        <w:t>2</w:t>
      </w:r>
      <w:r w:rsidR="00A9432C">
        <w:rPr>
          <w:b/>
          <w:sz w:val="28"/>
          <w:szCs w:val="28"/>
        </w:rPr>
        <w:t>4</w:t>
      </w:r>
      <w:r w:rsidR="00C67031" w:rsidRPr="00E1649D">
        <w:rPr>
          <w:b/>
          <w:sz w:val="28"/>
          <w:szCs w:val="28"/>
        </w:rPr>
        <w:t>. évi belső ellenőrzéséről</w:t>
      </w:r>
    </w:p>
    <w:p w:rsidR="00422B8B" w:rsidRPr="00C67031" w:rsidRDefault="00422B8B" w:rsidP="009D554B">
      <w:pPr>
        <w:rPr>
          <w:b/>
        </w:rPr>
      </w:pPr>
    </w:p>
    <w:p w:rsidR="00422B8B" w:rsidRPr="00283F3B" w:rsidRDefault="00422B8B" w:rsidP="00422B8B">
      <w:pPr>
        <w:jc w:val="both"/>
        <w:rPr>
          <w:u w:val="single"/>
        </w:rPr>
      </w:pPr>
      <w:r w:rsidRPr="00283F3B">
        <w:rPr>
          <w:u w:val="single"/>
        </w:rPr>
        <w:t>I/ A belső ellenőrzés által végzett tevékenység bemutatása önértékelés alapján</w:t>
      </w:r>
    </w:p>
    <w:p w:rsidR="00422B8B" w:rsidRDefault="00422B8B" w:rsidP="00422B8B">
      <w:pPr>
        <w:jc w:val="both"/>
      </w:pPr>
      <w:r>
        <w:t>A belső ellenőrzési kötelezettséget az államháztartásról szóló 2011</w:t>
      </w:r>
      <w:r w:rsidRPr="00EE1928">
        <w:t>.</w:t>
      </w:r>
      <w:r>
        <w:t xml:space="preserve"> évi CXCV. </w:t>
      </w:r>
      <w:r w:rsidRPr="00EE1928">
        <w:t>törvény</w:t>
      </w:r>
      <w:r>
        <w:t xml:space="preserve"> (Áht.) írja elő. A belső ellenőrzési tevékenységre vonatkozó előírásokat 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szabályozza.</w:t>
      </w:r>
      <w:r w:rsidRPr="00EE1928">
        <w:t xml:space="preserve"> </w:t>
      </w:r>
      <w:r>
        <w:t xml:space="preserve"> </w:t>
      </w:r>
    </w:p>
    <w:p w:rsidR="00461C6C" w:rsidRDefault="008C270B" w:rsidP="00422B8B">
      <w:pPr>
        <w:jc w:val="both"/>
      </w:pPr>
      <w:r>
        <w:t xml:space="preserve">A beszámolási időszakban </w:t>
      </w:r>
      <w:r w:rsidR="00C67031">
        <w:t>a</w:t>
      </w:r>
      <w:r w:rsidR="00461C6C">
        <w:t xml:space="preserve"> </w:t>
      </w:r>
      <w:r w:rsidR="009D554B">
        <w:t>Ceglédi Városi</w:t>
      </w:r>
      <w:r w:rsidR="00695198">
        <w:t xml:space="preserve"> Könyvtár (továbbiakban: intézmény</w:t>
      </w:r>
      <w:r w:rsidR="00C67031">
        <w:t>) saját belső ellenőrzési szervezettel nem rendelkezett</w:t>
      </w:r>
      <w:r w:rsidR="009D554B">
        <w:t>, a feladatot</w:t>
      </w:r>
      <w:r w:rsidR="00461C6C">
        <w:t xml:space="preserve"> a Képviselő-testület döntése alapján a Ceglédi Közös Önkormányzati Hivatal </w:t>
      </w:r>
      <w:r w:rsidR="00C67031">
        <w:t xml:space="preserve">(továbbiakban: önkormányzati hivatal) </w:t>
      </w:r>
      <w:r w:rsidR="00461C6C">
        <w:t>Bels</w:t>
      </w:r>
      <w:r w:rsidR="009D554B">
        <w:t>ő Ellenőrzése látta el</w:t>
      </w:r>
      <w:r w:rsidR="00461C6C">
        <w:t>.</w:t>
      </w:r>
      <w:r w:rsidR="00422B8B">
        <w:t xml:space="preserve"> </w:t>
      </w:r>
      <w:r w:rsidR="00461C6C">
        <w:t>A belső ellenőrzés</w:t>
      </w:r>
      <w:r w:rsidR="00422B8B">
        <w:t xml:space="preserve"> a </w:t>
      </w:r>
      <w:proofErr w:type="spellStart"/>
      <w:r w:rsidR="00422B8B">
        <w:t>Bkr</w:t>
      </w:r>
      <w:proofErr w:type="spellEnd"/>
      <w:r w:rsidR="00422B8B">
        <w:t>. előírásai al</w:t>
      </w:r>
      <w:r w:rsidR="00461C6C">
        <w:t>apján került megszervezésre, az önkormá</w:t>
      </w:r>
      <w:r w:rsidR="00695198">
        <w:t>nyzati hivatal és az intézmény</w:t>
      </w:r>
      <w:r w:rsidR="00461C6C">
        <w:t xml:space="preserve"> között létrejött feladatellátási megállapodás szerint.</w:t>
      </w:r>
      <w:r w:rsidR="007A7FAD">
        <w:t xml:space="preserve"> A belső ellenőrök megbízólevelét</w:t>
      </w:r>
      <w:r w:rsidR="00695198">
        <w:t xml:space="preserve"> az intézmény</w:t>
      </w:r>
      <w:r w:rsidR="00C67031">
        <w:t xml:space="preserve"> vezetője</w:t>
      </w:r>
      <w:r w:rsidR="00404227">
        <w:t xml:space="preserve"> írta</w:t>
      </w:r>
      <w:r w:rsidR="00226582">
        <w:t xml:space="preserve"> alá</w:t>
      </w:r>
      <w:r w:rsidR="00506B21">
        <w:t xml:space="preserve">, az ellenőrzési programot a belső ellenőrzési vezető hagyta jóvá. </w:t>
      </w:r>
      <w:r w:rsidR="00422B8B">
        <w:t xml:space="preserve"> </w:t>
      </w:r>
    </w:p>
    <w:p w:rsidR="00422B8B" w:rsidRDefault="00422B8B" w:rsidP="00422B8B">
      <w:pPr>
        <w:jc w:val="both"/>
      </w:pPr>
    </w:p>
    <w:p w:rsidR="00422B8B" w:rsidRPr="00EE1928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I.1./ </w:t>
      </w:r>
      <w:r w:rsidRPr="00EE1928">
        <w:rPr>
          <w:u w:val="single"/>
        </w:rPr>
        <w:t>Az</w:t>
      </w:r>
      <w:r>
        <w:rPr>
          <w:u w:val="single"/>
        </w:rPr>
        <w:t xml:space="preserve"> éves</w:t>
      </w:r>
      <w:r w:rsidRPr="00EE1928">
        <w:rPr>
          <w:u w:val="single"/>
        </w:rPr>
        <w:t xml:space="preserve"> ellenőrzési tervben foglalt feladatok teljesítésének értékelése</w:t>
      </w:r>
    </w:p>
    <w:p w:rsidR="00422B8B" w:rsidRDefault="00422B8B" w:rsidP="00422B8B">
      <w:pPr>
        <w:jc w:val="both"/>
        <w:rPr>
          <w:u w:val="single"/>
        </w:rPr>
      </w:pPr>
    </w:p>
    <w:p w:rsidR="00422B8B" w:rsidRPr="006C1A7B" w:rsidRDefault="00422B8B" w:rsidP="00422B8B">
      <w:pPr>
        <w:jc w:val="both"/>
        <w:rPr>
          <w:u w:val="single"/>
        </w:rPr>
      </w:pPr>
      <w:r w:rsidRPr="006C1A7B">
        <w:rPr>
          <w:u w:val="single"/>
        </w:rPr>
        <w:t>I/1/a) A tárgyévre vonatkozó éves ellenőrzési terv teljesítése, az ellenőrzések összesítése</w:t>
      </w:r>
    </w:p>
    <w:p w:rsidR="00422B8B" w:rsidRPr="00EE1928" w:rsidRDefault="00422B8B" w:rsidP="00422B8B">
      <w:pPr>
        <w:jc w:val="both"/>
        <w:rPr>
          <w:u w:val="single"/>
        </w:rPr>
      </w:pPr>
    </w:p>
    <w:p w:rsidR="00422B8B" w:rsidRDefault="00ED6FB1" w:rsidP="00422B8B">
      <w:pPr>
        <w:jc w:val="both"/>
      </w:pPr>
      <w:r>
        <w:t xml:space="preserve">A </w:t>
      </w:r>
      <w:r w:rsidR="009D554B">
        <w:t xml:space="preserve">Ceglédi Városi </w:t>
      </w:r>
      <w:r w:rsidR="001E6867" w:rsidRPr="00695198">
        <w:t xml:space="preserve">Könyvtár </w:t>
      </w:r>
      <w:r w:rsidR="00401241">
        <w:t>20</w:t>
      </w:r>
      <w:r w:rsidR="000531BD">
        <w:t>2</w:t>
      </w:r>
      <w:r w:rsidR="00A9432C">
        <w:t>4</w:t>
      </w:r>
      <w:r w:rsidR="00422B8B" w:rsidRPr="00695198">
        <w:t xml:space="preserve">. évi </w:t>
      </w:r>
      <w:r w:rsidRPr="00695198">
        <w:t xml:space="preserve">belső </w:t>
      </w:r>
      <w:r w:rsidR="00422B8B" w:rsidRPr="00695198">
        <w:t>ellenőrzési munkatervében a</w:t>
      </w:r>
      <w:r w:rsidRPr="00695198">
        <w:t>z</w:t>
      </w:r>
      <w:r w:rsidR="00422B8B" w:rsidRPr="00695198">
        <w:t xml:space="preserve"> ellenőrzés</w:t>
      </w:r>
      <w:r w:rsidRPr="00695198">
        <w:t xml:space="preserve">i kapacitás </w:t>
      </w:r>
      <w:r w:rsidR="000531BD">
        <w:t>2</w:t>
      </w:r>
      <w:r w:rsidR="001D478E">
        <w:t>4</w:t>
      </w:r>
      <w:r w:rsidR="00D736D4" w:rsidRPr="00695198">
        <w:t xml:space="preserve"> </w:t>
      </w:r>
      <w:r w:rsidR="00422B8B" w:rsidRPr="00695198">
        <w:t>szakértői nap</w:t>
      </w:r>
      <w:r w:rsidR="00422B8B">
        <w:t xml:space="preserve">, mely 2 </w:t>
      </w:r>
      <w:r w:rsidR="00422B8B" w:rsidRPr="00EE1928">
        <w:t>fő e</w:t>
      </w:r>
      <w:r w:rsidR="00422B8B">
        <w:t>ll</w:t>
      </w:r>
      <w:r w:rsidR="009D554B">
        <w:t xml:space="preserve">enőr tevékenységére épült. Az ellenőrzési tervben meghatározott témakör ellenőrzése megtörtént, feladatelmaradásra, illetve a tervben foglalt témakörök módosítására nem került sor. </w:t>
      </w:r>
      <w:r w:rsidR="00614347">
        <w:t>Az intézményvezető soron kívüli ellenőrzést nem rendelt el</w:t>
      </w:r>
      <w:r w:rsidR="002D501F">
        <w:t>.</w:t>
      </w:r>
      <w:r w:rsidR="003B191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1103"/>
        <w:gridCol w:w="1134"/>
      </w:tblGrid>
      <w:tr w:rsidR="00422B8B" w:rsidTr="001D478E">
        <w:tc>
          <w:tcPr>
            <w:tcW w:w="0" w:type="auto"/>
            <w:shd w:val="clear" w:color="auto" w:fill="auto"/>
          </w:tcPr>
          <w:p w:rsidR="00422B8B" w:rsidRPr="0057082F" w:rsidRDefault="00ED6FB1" w:rsidP="00FA407D">
            <w:pPr>
              <w:jc w:val="both"/>
              <w:rPr>
                <w:b/>
                <w:sz w:val="22"/>
                <w:szCs w:val="22"/>
              </w:rPr>
            </w:pPr>
            <w:r w:rsidRPr="0057082F">
              <w:rPr>
                <w:b/>
                <w:sz w:val="22"/>
                <w:szCs w:val="22"/>
              </w:rPr>
              <w:t>Feladat megnevezése</w:t>
            </w:r>
          </w:p>
        </w:tc>
        <w:tc>
          <w:tcPr>
            <w:tcW w:w="1103" w:type="dxa"/>
            <w:shd w:val="clear" w:color="auto" w:fill="auto"/>
          </w:tcPr>
          <w:p w:rsidR="00ED6FB1" w:rsidRPr="0057082F" w:rsidRDefault="00422B8B" w:rsidP="00FA407D">
            <w:pPr>
              <w:jc w:val="both"/>
              <w:rPr>
                <w:b/>
                <w:sz w:val="22"/>
                <w:szCs w:val="22"/>
              </w:rPr>
            </w:pPr>
            <w:r w:rsidRPr="0057082F">
              <w:rPr>
                <w:b/>
                <w:sz w:val="22"/>
                <w:szCs w:val="22"/>
              </w:rPr>
              <w:t>terv</w:t>
            </w:r>
          </w:p>
        </w:tc>
        <w:tc>
          <w:tcPr>
            <w:tcW w:w="1134" w:type="dxa"/>
            <w:shd w:val="clear" w:color="auto" w:fill="auto"/>
          </w:tcPr>
          <w:p w:rsidR="00422B8B" w:rsidRPr="0057082F" w:rsidRDefault="00422B8B" w:rsidP="00FA407D">
            <w:pPr>
              <w:jc w:val="both"/>
              <w:rPr>
                <w:b/>
                <w:sz w:val="22"/>
                <w:szCs w:val="22"/>
              </w:rPr>
            </w:pPr>
            <w:r w:rsidRPr="0057082F">
              <w:rPr>
                <w:b/>
                <w:sz w:val="22"/>
                <w:szCs w:val="22"/>
              </w:rPr>
              <w:t>teljesítés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 xml:space="preserve">Ellenőrzési feladatok 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16 nap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Utóellenőrzés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0 nap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 xml:space="preserve">Soron kívüli ellenőrzések tartaléka 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0 nap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 xml:space="preserve">Tanácsadási tevékenység                               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3 nap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Képzés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>1 nap</w:t>
            </w:r>
          </w:p>
        </w:tc>
      </w:tr>
      <w:tr w:rsidR="001D478E" w:rsidTr="001D478E">
        <w:tc>
          <w:tcPr>
            <w:tcW w:w="0" w:type="auto"/>
            <w:shd w:val="clear" w:color="auto" w:fill="auto"/>
          </w:tcPr>
          <w:p w:rsidR="001D478E" w:rsidRPr="0057082F" w:rsidRDefault="001D478E" w:rsidP="001D478E">
            <w:pPr>
              <w:jc w:val="both"/>
              <w:rPr>
                <w:sz w:val="22"/>
                <w:szCs w:val="22"/>
              </w:rPr>
            </w:pPr>
            <w:r w:rsidRPr="0057082F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103" w:type="dxa"/>
            <w:shd w:val="clear" w:color="auto" w:fill="auto"/>
          </w:tcPr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:rsidR="001D478E" w:rsidRPr="000030CF" w:rsidRDefault="001D478E" w:rsidP="001D478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D478E" w:rsidRPr="0057082F" w:rsidRDefault="001D478E" w:rsidP="001D4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7082F">
              <w:rPr>
                <w:sz w:val="22"/>
                <w:szCs w:val="22"/>
              </w:rPr>
              <w:t xml:space="preserve"> nap</w:t>
            </w:r>
          </w:p>
        </w:tc>
      </w:tr>
    </w:tbl>
    <w:p w:rsidR="00ED6FB1" w:rsidRDefault="00422B8B" w:rsidP="00422B8B">
      <w:pPr>
        <w:jc w:val="both"/>
      </w:pPr>
      <w:r w:rsidRPr="003C62CF">
        <w:t xml:space="preserve">                 </w:t>
      </w:r>
      <w:r>
        <w:t xml:space="preserve">              </w:t>
      </w:r>
      <w:r w:rsidRPr="003C62CF">
        <w:t xml:space="preserve">         </w:t>
      </w:r>
      <w:r>
        <w:t xml:space="preserve">  </w:t>
      </w:r>
    </w:p>
    <w:p w:rsidR="00422B8B" w:rsidRPr="00C35B34" w:rsidRDefault="00ED6FB1" w:rsidP="00422B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410122">
        <w:rPr>
          <w:sz w:val="22"/>
          <w:szCs w:val="22"/>
        </w:rPr>
        <w:t>A 20</w:t>
      </w:r>
      <w:r w:rsidR="000531BD">
        <w:rPr>
          <w:sz w:val="22"/>
          <w:szCs w:val="22"/>
        </w:rPr>
        <w:t>2</w:t>
      </w:r>
      <w:r w:rsidR="004C5820">
        <w:rPr>
          <w:sz w:val="22"/>
          <w:szCs w:val="22"/>
        </w:rPr>
        <w:t>4</w:t>
      </w:r>
      <w:r w:rsidR="00422B8B" w:rsidRPr="00C35B34">
        <w:rPr>
          <w:sz w:val="22"/>
          <w:szCs w:val="22"/>
        </w:rPr>
        <w:t xml:space="preserve">. évi vizsgálat </w:t>
      </w:r>
      <w:proofErr w:type="gramStart"/>
      <w:r w:rsidR="00422B8B" w:rsidRPr="00C35B34">
        <w:rPr>
          <w:sz w:val="22"/>
          <w:szCs w:val="22"/>
        </w:rPr>
        <w:t>tém</w:t>
      </w:r>
      <w:r w:rsidR="000531BD">
        <w:rPr>
          <w:sz w:val="22"/>
          <w:szCs w:val="22"/>
        </w:rPr>
        <w:t>ája</w:t>
      </w:r>
      <w:r w:rsidR="00422B8B" w:rsidRPr="00C35B34">
        <w:rPr>
          <w:sz w:val="22"/>
          <w:szCs w:val="22"/>
        </w:rPr>
        <w:t>:</w:t>
      </w:r>
      <w:r w:rsidR="00422B8B">
        <w:rPr>
          <w:sz w:val="22"/>
          <w:szCs w:val="22"/>
        </w:rPr>
        <w:t xml:space="preserve">   </w:t>
      </w:r>
      <w:proofErr w:type="gramEnd"/>
      <w:r w:rsidR="00422B8B">
        <w:rPr>
          <w:sz w:val="22"/>
          <w:szCs w:val="22"/>
        </w:rPr>
        <w:t xml:space="preserve">                                                 </w:t>
      </w:r>
      <w:r w:rsidR="00523110">
        <w:rPr>
          <w:sz w:val="22"/>
          <w:szCs w:val="22"/>
        </w:rPr>
        <w:t xml:space="preserve">                   </w:t>
      </w:r>
      <w:r w:rsidR="00422B8B">
        <w:rPr>
          <w:sz w:val="22"/>
          <w:szCs w:val="22"/>
        </w:rPr>
        <w:t xml:space="preserve">1. sz. táblázat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5812"/>
        <w:gridCol w:w="1525"/>
      </w:tblGrid>
      <w:tr w:rsidR="00422B8B" w:rsidTr="006932E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73713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073713">
              <w:rPr>
                <w:b/>
                <w:bCs/>
                <w:sz w:val="22"/>
                <w:szCs w:val="22"/>
              </w:rPr>
              <w:t>Az ellenőrzés címe, tárgya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73713" w:rsidRDefault="00422B8B" w:rsidP="006932E1">
            <w:pPr>
              <w:jc w:val="center"/>
              <w:rPr>
                <w:b/>
                <w:bCs/>
                <w:sz w:val="22"/>
                <w:szCs w:val="22"/>
              </w:rPr>
            </w:pPr>
            <w:r w:rsidRPr="00073713">
              <w:rPr>
                <w:b/>
                <w:bCs/>
                <w:sz w:val="22"/>
                <w:szCs w:val="22"/>
              </w:rPr>
              <w:t>Az ellenőrzés célja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73713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073713">
              <w:rPr>
                <w:b/>
                <w:bCs/>
                <w:sz w:val="22"/>
                <w:szCs w:val="22"/>
              </w:rPr>
              <w:t>Az ellenőrzés módszere</w:t>
            </w:r>
          </w:p>
        </w:tc>
      </w:tr>
      <w:tr w:rsidR="00422B8B" w:rsidTr="006932E1">
        <w:trPr>
          <w:trHeight w:val="1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6932E1" w:rsidRDefault="006932E1" w:rsidP="004C5820">
            <w:pPr>
              <w:rPr>
                <w:sz w:val="22"/>
                <w:szCs w:val="22"/>
              </w:rPr>
            </w:pPr>
            <w:r w:rsidRPr="006932E1">
              <w:rPr>
                <w:sz w:val="22"/>
                <w:szCs w:val="22"/>
              </w:rPr>
              <w:t xml:space="preserve">1/ </w:t>
            </w:r>
            <w:r w:rsidR="004C5820" w:rsidRPr="00916476">
              <w:rPr>
                <w:sz w:val="22"/>
                <w:szCs w:val="22"/>
              </w:rPr>
              <w:t>Könyvtári állomány gyarapításának és nyilvántartásának ellenőrzése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C5" w:rsidRPr="006932E1" w:rsidRDefault="005A4BC5" w:rsidP="005A4BC5">
            <w:pPr>
              <w:rPr>
                <w:bCs/>
                <w:sz w:val="22"/>
                <w:szCs w:val="22"/>
              </w:rPr>
            </w:pPr>
            <w:r w:rsidRPr="006932E1">
              <w:rPr>
                <w:b/>
                <w:bCs/>
                <w:sz w:val="22"/>
                <w:szCs w:val="22"/>
              </w:rPr>
              <w:t>Célja</w:t>
            </w:r>
            <w:r w:rsidRPr="006932E1">
              <w:rPr>
                <w:sz w:val="22"/>
                <w:szCs w:val="22"/>
              </w:rPr>
              <w:t xml:space="preserve">: </w:t>
            </w:r>
            <w:r w:rsidRPr="006932E1">
              <w:rPr>
                <w:bCs/>
                <w:sz w:val="22"/>
                <w:szCs w:val="22"/>
              </w:rPr>
              <w:t>annak megállapítása, hogy:</w:t>
            </w:r>
          </w:p>
          <w:p w:rsidR="004C5820" w:rsidRPr="00916476" w:rsidRDefault="0057082F" w:rsidP="004C582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4C5820" w:rsidRPr="00916476">
              <w:rPr>
                <w:bCs/>
                <w:sz w:val="22"/>
                <w:szCs w:val="22"/>
              </w:rPr>
              <w:t xml:space="preserve">- a könyvtári állomány gyarapítása tervszerűen történik-e, </w:t>
            </w:r>
          </w:p>
          <w:p w:rsidR="004C5820" w:rsidRPr="00916476" w:rsidRDefault="004C5820" w:rsidP="004C5820">
            <w:pPr>
              <w:rPr>
                <w:bCs/>
                <w:sz w:val="22"/>
                <w:szCs w:val="22"/>
              </w:rPr>
            </w:pPr>
            <w:r w:rsidRPr="00916476">
              <w:rPr>
                <w:bCs/>
                <w:sz w:val="22"/>
                <w:szCs w:val="22"/>
              </w:rPr>
              <w:t>- a könyvbeszerzésekre rendelkezésre álló pénzügyi keret szabályszerűen került-e felhasználásra,</w:t>
            </w:r>
          </w:p>
          <w:p w:rsidR="004C5820" w:rsidRPr="00916476" w:rsidRDefault="004C5820" w:rsidP="004C5820">
            <w:pPr>
              <w:rPr>
                <w:sz w:val="22"/>
                <w:szCs w:val="22"/>
              </w:rPr>
            </w:pPr>
            <w:r w:rsidRPr="00916476">
              <w:rPr>
                <w:bCs/>
                <w:sz w:val="22"/>
                <w:szCs w:val="22"/>
              </w:rPr>
              <w:t xml:space="preserve">-az állomány bevételezése és nyilvántartása szabályszerűen történik-e. </w:t>
            </w:r>
          </w:p>
          <w:p w:rsidR="00422B8B" w:rsidRPr="004C5820" w:rsidRDefault="00422B8B" w:rsidP="00AF6E5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C3" w:rsidRPr="00AF6E59" w:rsidRDefault="005A4BC5" w:rsidP="00FA407D">
            <w:pPr>
              <w:jc w:val="both"/>
              <w:rPr>
                <w:sz w:val="20"/>
                <w:szCs w:val="20"/>
              </w:rPr>
            </w:pPr>
            <w:r w:rsidRPr="00AF6E59">
              <w:rPr>
                <w:sz w:val="20"/>
                <w:szCs w:val="20"/>
              </w:rPr>
              <w:t>mintavételes</w:t>
            </w:r>
            <w:r w:rsidR="00073713" w:rsidRPr="00AF6E59">
              <w:rPr>
                <w:sz w:val="20"/>
                <w:szCs w:val="20"/>
              </w:rPr>
              <w:t xml:space="preserve"> ellenőrzés</w:t>
            </w:r>
          </w:p>
        </w:tc>
      </w:tr>
    </w:tbl>
    <w:p w:rsidR="00073713" w:rsidRDefault="00073713" w:rsidP="00422B8B">
      <w:pPr>
        <w:jc w:val="both"/>
      </w:pPr>
    </w:p>
    <w:p w:rsidR="00422B8B" w:rsidRPr="005347D8" w:rsidRDefault="00422B8B" w:rsidP="00422B8B">
      <w:pPr>
        <w:jc w:val="both"/>
        <w:rPr>
          <w:u w:val="single"/>
        </w:rPr>
      </w:pPr>
      <w:r>
        <w:rPr>
          <w:u w:val="single"/>
        </w:rPr>
        <w:t>I/1/b)</w:t>
      </w:r>
      <w:r w:rsidRPr="000E507E">
        <w:rPr>
          <w:u w:val="single"/>
        </w:rPr>
        <w:t xml:space="preserve"> Büntető, szabálysértési, kártérítési, fegyelmi eljárások</w:t>
      </w:r>
    </w:p>
    <w:p w:rsidR="00422B8B" w:rsidRDefault="007E539B" w:rsidP="00422B8B">
      <w:pPr>
        <w:jc w:val="both"/>
      </w:pPr>
      <w:r>
        <w:t>A 20</w:t>
      </w:r>
      <w:r w:rsidR="0052492B">
        <w:t>2</w:t>
      </w:r>
      <w:r w:rsidR="0014464E">
        <w:t>4</w:t>
      </w:r>
      <w:r w:rsidR="00422B8B">
        <w:t>. évi</w:t>
      </w:r>
      <w:r w:rsidR="00422B8B" w:rsidRPr="000E507E">
        <w:t xml:space="preserve"> ellenőrzés</w:t>
      </w:r>
      <w:r w:rsidR="00422B8B">
        <w:t>ek</w:t>
      </w:r>
      <w:r w:rsidR="00422B8B" w:rsidRPr="000E507E">
        <w:t xml:space="preserve"> során</w:t>
      </w:r>
      <w:r w:rsidR="00422B8B">
        <w:t xml:space="preserve"> </w:t>
      </w:r>
      <w:r w:rsidR="00422B8B" w:rsidRPr="000E507E">
        <w:t>fegyelmi eljárás megindí</w:t>
      </w:r>
      <w:r w:rsidR="00422B8B">
        <w:t>tására okot adó mulasztás, illetve</w:t>
      </w:r>
      <w:r w:rsidR="00422B8B" w:rsidRPr="000E507E">
        <w:t xml:space="preserve"> hiányosság megállapítására </w:t>
      </w:r>
      <w:r w:rsidR="00422B8B">
        <w:t xml:space="preserve">nem </w:t>
      </w:r>
      <w:r w:rsidR="00422B8B" w:rsidRPr="000E507E">
        <w:t>került sor.</w:t>
      </w:r>
    </w:p>
    <w:p w:rsidR="00422B8B" w:rsidRDefault="00422B8B" w:rsidP="00422B8B">
      <w:pPr>
        <w:jc w:val="both"/>
      </w:pPr>
    </w:p>
    <w:p w:rsidR="00422B8B" w:rsidRPr="00373BC1" w:rsidRDefault="00422B8B" w:rsidP="00422B8B">
      <w:pPr>
        <w:jc w:val="both"/>
        <w:rPr>
          <w:u w:val="single"/>
        </w:rPr>
      </w:pPr>
      <w:r>
        <w:rPr>
          <w:u w:val="single"/>
        </w:rPr>
        <w:lastRenderedPageBreak/>
        <w:t xml:space="preserve">I.2./ A bizonyosságot adó tevékenységet elősegítő </w:t>
      </w:r>
      <w:r w:rsidRPr="00373BC1">
        <w:rPr>
          <w:u w:val="single"/>
        </w:rPr>
        <w:t>és akadályozó tényezők</w:t>
      </w:r>
      <w:r>
        <w:rPr>
          <w:u w:val="single"/>
        </w:rPr>
        <w:t xml:space="preserve"> bemutatása</w:t>
      </w:r>
    </w:p>
    <w:p w:rsidR="00422B8B" w:rsidRDefault="00422B8B" w:rsidP="00422B8B">
      <w:pPr>
        <w:jc w:val="both"/>
      </w:pPr>
    </w:p>
    <w:p w:rsidR="00422B8B" w:rsidRPr="00BF2D6E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I/2/a) A belső ellenőrzés humánerőforrás ellátottsága</w:t>
      </w:r>
    </w:p>
    <w:p w:rsidR="00422B8B" w:rsidRDefault="00D34E78" w:rsidP="00422B8B">
      <w:pPr>
        <w:jc w:val="both"/>
      </w:pPr>
      <w:r>
        <w:t>A</w:t>
      </w:r>
      <w:r w:rsidR="00422B8B" w:rsidRPr="00EE1928">
        <w:t xml:space="preserve"> </w:t>
      </w:r>
      <w:r w:rsidR="005347D8">
        <w:t xml:space="preserve">Ceglédi Közös Önkormányzati Hivatal a </w:t>
      </w:r>
      <w:r w:rsidR="00422B8B" w:rsidRPr="00EE1928">
        <w:t>belső ellenőrzési feladatok végrehajtását</w:t>
      </w:r>
      <w:r w:rsidR="007E539B">
        <w:t xml:space="preserve"> 20</w:t>
      </w:r>
      <w:r w:rsidR="0052492B">
        <w:t>2</w:t>
      </w:r>
      <w:r w:rsidR="000A0CA5">
        <w:t>4</w:t>
      </w:r>
      <w:r w:rsidR="00422B8B">
        <w:t>. évben</w:t>
      </w:r>
      <w:r w:rsidR="00422B8B" w:rsidRPr="00EE1928">
        <w:t xml:space="preserve"> 2 fő</w:t>
      </w:r>
      <w:r w:rsidR="005347D8">
        <w:t xml:space="preserve"> belső ellenőrrel biztosítot</w:t>
      </w:r>
      <w:r w:rsidR="00D60EC7">
        <w:t>ta, az ellenőrzési kapacitás az</w:t>
      </w:r>
      <w:r w:rsidR="005347D8">
        <w:t xml:space="preserve"> ellenőrzés</w:t>
      </w:r>
      <w:r w:rsidR="00E01026">
        <w:t>i napok figyelembevételével 0,1</w:t>
      </w:r>
      <w:r w:rsidR="005347D8">
        <w:t xml:space="preserve"> fő</w:t>
      </w:r>
      <w:r w:rsidR="00422B8B">
        <w:t>. A belső ellenőrzési kapacitás elegendőnek bizonyult a tervben meghatározott feladatok ellátásához.</w:t>
      </w:r>
    </w:p>
    <w:p w:rsidR="00217326" w:rsidRDefault="00217326" w:rsidP="00422B8B">
      <w:pPr>
        <w:jc w:val="both"/>
      </w:pPr>
      <w:r>
        <w:t>A belső ellenőrök képzettségi szintje és gyakorlata megfelelt a 28/2011 (VIII.3.) NGM rendelet előírásainak, a belső ellenőrzést végzők rendelkez</w:t>
      </w:r>
      <w:r w:rsidR="00692FA8">
        <w:t>t</w:t>
      </w:r>
      <w:r>
        <w:t xml:space="preserve">ek az </w:t>
      </w:r>
      <w:proofErr w:type="spellStart"/>
      <w:r>
        <w:t>Aht</w:t>
      </w:r>
      <w:proofErr w:type="spellEnd"/>
      <w:r>
        <w:t xml:space="preserve">. 70.§ (4)-(5) bekezdésében előírt engedéllyel.        </w:t>
      </w:r>
    </w:p>
    <w:p w:rsidR="00422B8B" w:rsidRDefault="00422B8B" w:rsidP="00422B8B">
      <w:pPr>
        <w:jc w:val="both"/>
      </w:pPr>
      <w:r>
        <w:t>A belső ellenőrök az év folyamán több alkalommal vettek r</w:t>
      </w:r>
      <w:r w:rsidR="00D34E78">
        <w:t xml:space="preserve">észt szakmai továbbképzéseken, a </w:t>
      </w:r>
      <w:r>
        <w:t>belső ellenőrzési regisztrációhoz kapcsolódó továbbképzési kötelezettségüket teljesítették.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I/2/b) A belső ellenőrök szervezeti és funkcionális függetlenségének biztosítása</w:t>
      </w:r>
      <w:r>
        <w:rPr>
          <w:u w:val="single"/>
        </w:rPr>
        <w:t xml:space="preserve"> </w:t>
      </w:r>
    </w:p>
    <w:p w:rsidR="00422B8B" w:rsidRDefault="00422B8B" w:rsidP="00422B8B">
      <w:pPr>
        <w:jc w:val="both"/>
      </w:pPr>
      <w:r>
        <w:t>A belső ellenőrök funkcionális függetlensé</w:t>
      </w:r>
      <w:r w:rsidR="00D34E78">
        <w:t>ge nem sérült, mivel az intézményvezetőnek</w:t>
      </w:r>
      <w:r>
        <w:t xml:space="preserve"> közvetlenül alárendelve vé</w:t>
      </w:r>
      <w:r w:rsidR="00D34E78">
        <w:t>gezték tevékenységüket. Az intézményvezető</w:t>
      </w:r>
      <w:r>
        <w:t xml:space="preserve"> biztosította az éves ellenőrzési terv kidolgozása során, az ellenőrzési program elkészítése és végrehajtása során, az ellenőrzési módszerek kiválasztása során, a következtetések és ajánlások kidolgozása és az ellenőrzési jelentés elkészítése során az ellenőrök függetlenséget.</w:t>
      </w:r>
    </w:p>
    <w:p w:rsidR="00422B8B" w:rsidRDefault="00D34E78" w:rsidP="00422B8B">
      <w:pPr>
        <w:jc w:val="both"/>
      </w:pPr>
      <w:r>
        <w:t>Az intézményvezető a belső ellenőröket</w:t>
      </w:r>
      <w:r w:rsidR="00422B8B">
        <w:t xml:space="preserve"> a bizonyosságot adó ellenőrzési és tanácsadási tevékenységen kívüli más tevékenységek végrehajtásába nem vonta be.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rPr>
          <w:u w:val="single"/>
        </w:rPr>
        <w:t>I/2/c) Összeférhetetlenségi esetek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20. §-a szerinti összeférhetetlenségi okok megállapítására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I/2/d) A belső ellenőri jogokkal kapcsolatos esetleges korlátozások bemutatása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25.§ a)-e) pontjaiban megfogalmazott, az ellenőr jogosultságait korlátozó intézkedésre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I/2/e) A belső ellenőrzés végrehajtását akadályozó tényezők</w:t>
      </w:r>
    </w:p>
    <w:p w:rsidR="00422B8B" w:rsidRDefault="00422B8B" w:rsidP="00422B8B">
      <w:pPr>
        <w:jc w:val="both"/>
      </w:pPr>
      <w:r>
        <w:t>A belső ellenőrzés rendelkezésére bocsátott eszközök (informatikai rendszerek, jogforrások elérése, stb.) hozzájárultak a feladat színvonalas ellátásához. Az ellenőrzésekre való felkészülés és az ellenőrzések végrehajtásához szükséges információellátottság megfelelőnek minősíthető. Az ellenőrzések végrehajtását akadályozó tényezők nem merültek fel.</w:t>
      </w:r>
    </w:p>
    <w:p w:rsidR="00422B8B" w:rsidRDefault="00422B8B" w:rsidP="00422B8B">
      <w:pPr>
        <w:jc w:val="both"/>
      </w:pPr>
    </w:p>
    <w:p w:rsidR="00422B8B" w:rsidRPr="002D6A8B" w:rsidRDefault="00422B8B" w:rsidP="00422B8B">
      <w:pPr>
        <w:jc w:val="both"/>
        <w:rPr>
          <w:u w:val="single"/>
        </w:rPr>
      </w:pPr>
      <w:r w:rsidRPr="002D6A8B">
        <w:rPr>
          <w:u w:val="single"/>
        </w:rPr>
        <w:t>I/2/f) Az ellenőrzések nyilvántartása</w:t>
      </w:r>
    </w:p>
    <w:p w:rsidR="00422B8B" w:rsidRDefault="00422B8B" w:rsidP="00422B8B">
      <w:pPr>
        <w:jc w:val="both"/>
      </w:pPr>
      <w:r>
        <w:t xml:space="preserve">Az ellenőrzések nyilvántartásának kialakításáról a </w:t>
      </w:r>
      <w:proofErr w:type="spellStart"/>
      <w:r>
        <w:t>Bkr</w:t>
      </w:r>
      <w:proofErr w:type="spellEnd"/>
      <w:r>
        <w:t>. 22. és 50. §-</w:t>
      </w:r>
      <w:proofErr w:type="spellStart"/>
      <w:r>
        <w:t>ai</w:t>
      </w:r>
      <w:proofErr w:type="spellEnd"/>
      <w:r>
        <w:t xml:space="preserve"> szerint került sor. A belső ellenőrzési vezető gondoskodott a megfelelő nyilvántartás vezetéséről az elvégzett belső ellenőrzések tekintetében, illetve gondoskodott az ellenőrzési dokumentumok megőrzéséről.   </w:t>
      </w:r>
    </w:p>
    <w:p w:rsidR="00940437" w:rsidRDefault="00940437" w:rsidP="00422B8B">
      <w:pPr>
        <w:jc w:val="both"/>
      </w:pPr>
    </w:p>
    <w:p w:rsidR="00422B8B" w:rsidRPr="001C08EE" w:rsidRDefault="00422B8B" w:rsidP="00422B8B">
      <w:pPr>
        <w:jc w:val="both"/>
        <w:rPr>
          <w:u w:val="single"/>
        </w:rPr>
      </w:pPr>
      <w:r w:rsidRPr="001C08EE">
        <w:rPr>
          <w:u w:val="single"/>
        </w:rPr>
        <w:t>I/2/q) Az ellenőrzési tevékenység fejlesztésére vonatkozó javaslatok</w:t>
      </w:r>
    </w:p>
    <w:p w:rsidR="00422B8B" w:rsidRDefault="00422B8B" w:rsidP="00422B8B">
      <w:pPr>
        <w:jc w:val="both"/>
      </w:pPr>
      <w:r>
        <w:t>Az ellenőr</w:t>
      </w:r>
      <w:r w:rsidR="00714FD1">
        <w:t>zési rendszer fejlesztésére 20</w:t>
      </w:r>
      <w:r w:rsidR="0052492B">
        <w:t>2</w:t>
      </w:r>
      <w:r w:rsidR="000A0CA5">
        <w:t>4</w:t>
      </w:r>
      <w:r>
        <w:t>. évb</w:t>
      </w:r>
      <w:r w:rsidR="00E90ABA">
        <w:t>en</w:t>
      </w:r>
      <w:r w:rsidR="00F64B71">
        <w:t xml:space="preserve"> nem került</w:t>
      </w:r>
      <w:r w:rsidR="005347D8">
        <w:t xml:space="preserve"> sor, a tevékenység fejlesztését az intézményvezető nem tervezi</w:t>
      </w:r>
      <w:r>
        <w:t xml:space="preserve">. </w:t>
      </w:r>
    </w:p>
    <w:p w:rsidR="005347D8" w:rsidRDefault="005347D8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>
        <w:rPr>
          <w:u w:val="single"/>
        </w:rPr>
        <w:t>I.3./ A tanácsadó tevékenység bemutatása</w:t>
      </w:r>
    </w:p>
    <w:p w:rsidR="000A0CA5" w:rsidRDefault="000B3676" w:rsidP="00422B8B">
      <w:pPr>
        <w:jc w:val="both"/>
      </w:pPr>
      <w:r>
        <w:t xml:space="preserve">Az </w:t>
      </w:r>
      <w:r w:rsidR="00940437">
        <w:t>ellenőrzés</w:t>
      </w:r>
      <w:r w:rsidR="00422B8B">
        <w:t xml:space="preserve"> 2</w:t>
      </w:r>
      <w:r w:rsidR="00714FD1">
        <w:t>0</w:t>
      </w:r>
      <w:r w:rsidR="0052492B">
        <w:t>2</w:t>
      </w:r>
      <w:r w:rsidR="000A0CA5">
        <w:t>4</w:t>
      </w:r>
      <w:r w:rsidR="00714FD1">
        <w:t xml:space="preserve">. évben </w:t>
      </w:r>
      <w:r w:rsidR="00692FA8">
        <w:t>3</w:t>
      </w:r>
      <w:r w:rsidR="00A00600">
        <w:t xml:space="preserve"> napot fordított tanácsadásra, </w:t>
      </w:r>
      <w:r w:rsidR="00714FD1">
        <w:t>a</w:t>
      </w:r>
      <w:r>
        <w:t xml:space="preserve"> tanácsadás</w:t>
      </w:r>
      <w:r w:rsidR="00714FD1">
        <w:t>i tevékenység</w:t>
      </w:r>
      <w:r>
        <w:t xml:space="preserve"> az </w:t>
      </w:r>
      <w:r w:rsidR="00422B8B">
        <w:t>jellemzően</w:t>
      </w:r>
      <w:r w:rsidR="005456AA">
        <w:t xml:space="preserve"> a belső kontroll kialakításának kérdéseire</w:t>
      </w:r>
      <w:r w:rsidR="00422B8B">
        <w:t xml:space="preserve"> terjedt ki.</w:t>
      </w:r>
    </w:p>
    <w:p w:rsidR="00422B8B" w:rsidRDefault="00422B8B" w:rsidP="00422B8B">
      <w:pPr>
        <w:jc w:val="both"/>
      </w:pPr>
      <w:r>
        <w:t xml:space="preserve">           </w:t>
      </w:r>
    </w:p>
    <w:p w:rsidR="00422B8B" w:rsidRDefault="00422B8B" w:rsidP="00422B8B"/>
    <w:p w:rsidR="00422B8B" w:rsidRDefault="00422B8B" w:rsidP="00422B8B">
      <w:pPr>
        <w:jc w:val="both"/>
      </w:pPr>
      <w:r w:rsidRPr="005B1499">
        <w:rPr>
          <w:b/>
          <w:bCs/>
        </w:rPr>
        <w:lastRenderedPageBreak/>
        <w:t>II./</w:t>
      </w:r>
      <w:r>
        <w:rPr>
          <w:b/>
          <w:bCs/>
        </w:rPr>
        <w:t xml:space="preserve"> A belső kontrollrendszer működésének értékelése ellenőrzési tapasztalatok alapján </w:t>
      </w:r>
    </w:p>
    <w:p w:rsidR="00422B8B" w:rsidRDefault="00422B8B" w:rsidP="00422B8B">
      <w:pPr>
        <w:jc w:val="both"/>
        <w:rPr>
          <w:b/>
          <w:bCs/>
        </w:rPr>
      </w:pPr>
    </w:p>
    <w:p w:rsidR="00422B8B" w:rsidRDefault="00422B8B" w:rsidP="00422B8B">
      <w:pPr>
        <w:jc w:val="both"/>
        <w:rPr>
          <w:u w:val="single"/>
        </w:rPr>
      </w:pPr>
      <w:r w:rsidRPr="00512E52">
        <w:t>I</w:t>
      </w:r>
      <w:r w:rsidRPr="00A62437">
        <w:rPr>
          <w:u w:val="single"/>
        </w:rPr>
        <w:t>I.1</w:t>
      </w:r>
      <w:r w:rsidRPr="00A62437">
        <w:rPr>
          <w:b/>
          <w:bCs/>
          <w:u w:val="single"/>
        </w:rPr>
        <w:t xml:space="preserve">/ </w:t>
      </w:r>
      <w:r w:rsidRPr="00A62437">
        <w:rPr>
          <w:u w:val="single"/>
        </w:rPr>
        <w:t>A belső kontrollrendszer szabályszerűségének, gazdaságosságának, hatékonyságának és eredményességének növelése, javítása érdekében tett fontosabb javaslatok</w:t>
      </w:r>
    </w:p>
    <w:p w:rsidR="00CE3B39" w:rsidRDefault="00CE3B39" w:rsidP="00422B8B">
      <w:pPr>
        <w:jc w:val="both"/>
        <w:rPr>
          <w:u w:val="single"/>
        </w:rPr>
      </w:pPr>
    </w:p>
    <w:p w:rsidR="00422B8B" w:rsidRDefault="00CE3B39" w:rsidP="00131D9E">
      <w:pPr>
        <w:jc w:val="both"/>
        <w:rPr>
          <w:sz w:val="20"/>
          <w:szCs w:val="20"/>
        </w:rPr>
      </w:pPr>
      <w:r w:rsidRPr="00CE3B39">
        <w:rPr>
          <w:sz w:val="20"/>
          <w:szCs w:val="20"/>
        </w:rPr>
        <w:t xml:space="preserve">Kult. tv. -1997. évi CXL. törvény a muzeális intézményekről, a nyilvános könyvtári ellátásról és a közművelődésről </w:t>
      </w:r>
    </w:p>
    <w:p w:rsidR="00FE425F" w:rsidRPr="00CE3B39" w:rsidRDefault="00FE425F" w:rsidP="00131D9E">
      <w:pPr>
        <w:jc w:val="both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Ávr</w:t>
      </w:r>
      <w:proofErr w:type="spellEnd"/>
      <w:r>
        <w:rPr>
          <w:sz w:val="20"/>
          <w:szCs w:val="20"/>
        </w:rPr>
        <w:t>.-</w:t>
      </w:r>
      <w:proofErr w:type="gramEnd"/>
      <w:r>
        <w:rPr>
          <w:sz w:val="20"/>
          <w:szCs w:val="20"/>
        </w:rPr>
        <w:t xml:space="preserve"> </w:t>
      </w:r>
      <w:r w:rsidRPr="00FE425F">
        <w:rPr>
          <w:sz w:val="20"/>
          <w:szCs w:val="20"/>
        </w:rPr>
        <w:t>368/2011. (XII.31.) Kormányrendelet - az államháztartásról szóló törvény végrehajtásáról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268"/>
      </w:tblGrid>
      <w:tr w:rsidR="003E1022" w:rsidTr="00EF48F4">
        <w:trPr>
          <w:trHeight w:val="4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022" w:rsidRPr="00284CAE" w:rsidRDefault="003E1022" w:rsidP="00FA407D">
            <w:pPr>
              <w:rPr>
                <w:b/>
                <w:bCs/>
                <w:sz w:val="20"/>
                <w:szCs w:val="20"/>
              </w:rPr>
            </w:pPr>
          </w:p>
          <w:p w:rsidR="003E1022" w:rsidRPr="00284CAE" w:rsidRDefault="003E1022" w:rsidP="00FA407D">
            <w:pPr>
              <w:jc w:val="center"/>
              <w:rPr>
                <w:sz w:val="20"/>
                <w:szCs w:val="20"/>
                <w:u w:val="single"/>
              </w:rPr>
            </w:pPr>
            <w:r w:rsidRPr="00284CAE">
              <w:rPr>
                <w:b/>
                <w:bCs/>
                <w:sz w:val="20"/>
                <w:szCs w:val="20"/>
              </w:rPr>
              <w:t>Összefoglaló megállapítások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022" w:rsidRPr="00284CAE" w:rsidRDefault="003E1022" w:rsidP="00FA407D">
            <w:pPr>
              <w:rPr>
                <w:b/>
                <w:bCs/>
                <w:sz w:val="20"/>
                <w:szCs w:val="20"/>
              </w:rPr>
            </w:pPr>
          </w:p>
          <w:p w:rsidR="003E1022" w:rsidRPr="00284CAE" w:rsidRDefault="003E1022" w:rsidP="00851ECE">
            <w:pPr>
              <w:jc w:val="center"/>
              <w:rPr>
                <w:b/>
                <w:bCs/>
                <w:sz w:val="20"/>
                <w:szCs w:val="20"/>
              </w:rPr>
            </w:pPr>
            <w:r w:rsidRPr="00284CAE">
              <w:rPr>
                <w:b/>
                <w:bCs/>
                <w:sz w:val="20"/>
                <w:szCs w:val="20"/>
              </w:rPr>
              <w:t>Javaslatok</w:t>
            </w:r>
          </w:p>
          <w:p w:rsidR="003E1022" w:rsidRPr="00284CAE" w:rsidRDefault="003E1022" w:rsidP="00851ECE">
            <w:pPr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3E1022" w:rsidRPr="001E0BF5" w:rsidTr="00EF48F4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7D" w:rsidRPr="001E1455" w:rsidRDefault="003E1022" w:rsidP="00BC2C7D">
            <w:pPr>
              <w:rPr>
                <w:sz w:val="22"/>
                <w:szCs w:val="22"/>
              </w:rPr>
            </w:pPr>
            <w:r w:rsidRPr="001E1455">
              <w:rPr>
                <w:b/>
                <w:bCs/>
                <w:sz w:val="22"/>
                <w:szCs w:val="22"/>
              </w:rPr>
              <w:t>Téma:</w:t>
            </w:r>
            <w:r w:rsidR="00BC2C7D" w:rsidRPr="001E1455">
              <w:rPr>
                <w:b/>
                <w:bCs/>
                <w:sz w:val="22"/>
                <w:szCs w:val="22"/>
              </w:rPr>
              <w:t xml:space="preserve"> </w:t>
            </w:r>
            <w:r w:rsidR="000A0CA5" w:rsidRPr="001E1455">
              <w:rPr>
                <w:sz w:val="22"/>
                <w:szCs w:val="22"/>
              </w:rPr>
              <w:t>Könyvtári állomány gyarapításának és nyilvántartásának ellenőrzése</w:t>
            </w:r>
          </w:p>
          <w:p w:rsidR="000A0CA5" w:rsidRPr="001E1455" w:rsidRDefault="000A0CA5" w:rsidP="00BC2C7D">
            <w:pPr>
              <w:rPr>
                <w:sz w:val="22"/>
                <w:szCs w:val="22"/>
              </w:rPr>
            </w:pPr>
          </w:p>
          <w:p w:rsidR="000A0CA5" w:rsidRPr="001E1455" w:rsidRDefault="00EF504C" w:rsidP="002B3F64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>Az ellenőrzés megállapította, hogy 2023. évben az intézmény a könyvtári állomány gyarapítás</w:t>
            </w:r>
            <w:r w:rsidR="008250CA" w:rsidRPr="001E1455">
              <w:rPr>
                <w:sz w:val="22"/>
                <w:szCs w:val="22"/>
              </w:rPr>
              <w:t>i és</w:t>
            </w:r>
            <w:r w:rsidRPr="001E1455">
              <w:rPr>
                <w:sz w:val="22"/>
                <w:szCs w:val="22"/>
              </w:rPr>
              <w:t xml:space="preserve"> nyilvántartás</w:t>
            </w:r>
            <w:r w:rsidR="008250CA" w:rsidRPr="001E1455">
              <w:rPr>
                <w:sz w:val="22"/>
                <w:szCs w:val="22"/>
              </w:rPr>
              <w:t>i</w:t>
            </w:r>
            <w:r w:rsidRPr="001E1455">
              <w:rPr>
                <w:sz w:val="22"/>
                <w:szCs w:val="22"/>
              </w:rPr>
              <w:t xml:space="preserve"> feladatok ellátására bruttó 8.998 e Ft-ot fordított, mely nagyságrendileg </w:t>
            </w:r>
            <w:r w:rsidR="00103587" w:rsidRPr="001E1455">
              <w:rPr>
                <w:sz w:val="22"/>
                <w:szCs w:val="22"/>
              </w:rPr>
              <w:t xml:space="preserve">fedezte az </w:t>
            </w:r>
            <w:r w:rsidRPr="001E1455">
              <w:rPr>
                <w:sz w:val="22"/>
                <w:szCs w:val="22"/>
              </w:rPr>
              <w:t xml:space="preserve">önkormányzat kulturális feladatainak </w:t>
            </w:r>
            <w:r w:rsidR="00103587" w:rsidRPr="001E1455">
              <w:rPr>
                <w:sz w:val="22"/>
                <w:szCs w:val="22"/>
              </w:rPr>
              <w:t>finanszírozására igényelt támogatás</w:t>
            </w:r>
            <w:r w:rsidR="008250CA" w:rsidRPr="001E1455">
              <w:rPr>
                <w:sz w:val="22"/>
                <w:szCs w:val="22"/>
              </w:rPr>
              <w:t xml:space="preserve"> azon részét</w:t>
            </w:r>
            <w:r w:rsidR="00103587" w:rsidRPr="001E1455">
              <w:rPr>
                <w:sz w:val="22"/>
                <w:szCs w:val="22"/>
              </w:rPr>
              <w:t xml:space="preserve"> melyet </w:t>
            </w:r>
            <w:r w:rsidRPr="001E1455">
              <w:rPr>
                <w:sz w:val="22"/>
                <w:szCs w:val="22"/>
              </w:rPr>
              <w:t>állománygyarapítás</w:t>
            </w:r>
            <w:r w:rsidR="00103587" w:rsidRPr="001E1455">
              <w:rPr>
                <w:sz w:val="22"/>
                <w:szCs w:val="22"/>
              </w:rPr>
              <w:t>ra kell fordítani</w:t>
            </w:r>
            <w:r w:rsidR="008250CA" w:rsidRPr="001E1455">
              <w:rPr>
                <w:sz w:val="22"/>
                <w:szCs w:val="22"/>
              </w:rPr>
              <w:t>. /10%/</w:t>
            </w:r>
            <w:r w:rsidR="00D166B3" w:rsidRPr="001E1455">
              <w:rPr>
                <w:sz w:val="22"/>
                <w:szCs w:val="22"/>
              </w:rPr>
              <w:t xml:space="preserve"> A könyvtári állomány gyarapítása tervszerűen történt, az intézmény költségvetésében </w:t>
            </w:r>
            <w:r w:rsidR="00EF2C86" w:rsidRPr="001E1455">
              <w:rPr>
                <w:sz w:val="22"/>
                <w:szCs w:val="22"/>
              </w:rPr>
              <w:t>jóváhagyott</w:t>
            </w:r>
            <w:r w:rsidR="00D166B3" w:rsidRPr="001E1455">
              <w:rPr>
                <w:sz w:val="22"/>
                <w:szCs w:val="22"/>
              </w:rPr>
              <w:t xml:space="preserve"> pénzügyi keret</w:t>
            </w:r>
            <w:r w:rsidR="0005418C" w:rsidRPr="001E1455">
              <w:rPr>
                <w:sz w:val="22"/>
                <w:szCs w:val="22"/>
              </w:rPr>
              <w:t>et</w:t>
            </w:r>
            <w:r w:rsidR="00D166B3" w:rsidRPr="001E1455">
              <w:rPr>
                <w:sz w:val="22"/>
                <w:szCs w:val="22"/>
              </w:rPr>
              <w:t xml:space="preserve"> felhasznál</w:t>
            </w:r>
            <w:r w:rsidR="00EF2C86" w:rsidRPr="001E1455">
              <w:rPr>
                <w:sz w:val="22"/>
                <w:szCs w:val="22"/>
              </w:rPr>
              <w:t>ták.</w:t>
            </w:r>
          </w:p>
          <w:p w:rsidR="00B31DDB" w:rsidRPr="001E1455" w:rsidRDefault="00B31DDB" w:rsidP="002B3F64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 xml:space="preserve">Az ellenőrzés megállapította, hogy az intézmény </w:t>
            </w:r>
            <w:r w:rsidR="00D166B3" w:rsidRPr="001E1455">
              <w:rPr>
                <w:sz w:val="22"/>
                <w:szCs w:val="22"/>
              </w:rPr>
              <w:t xml:space="preserve">az általa beszerzett könyvtári dokumentumokat </w:t>
            </w:r>
            <w:r w:rsidRPr="001E1455">
              <w:rPr>
                <w:sz w:val="22"/>
                <w:szCs w:val="22"/>
              </w:rPr>
              <w:t xml:space="preserve">a Kult. tv. 60/A § (1) – (5) </w:t>
            </w:r>
            <w:proofErr w:type="spellStart"/>
            <w:r w:rsidRPr="001E1455">
              <w:rPr>
                <w:sz w:val="22"/>
                <w:szCs w:val="22"/>
              </w:rPr>
              <w:t>bek</w:t>
            </w:r>
            <w:proofErr w:type="spellEnd"/>
            <w:r w:rsidRPr="001E1455">
              <w:rPr>
                <w:sz w:val="22"/>
                <w:szCs w:val="22"/>
              </w:rPr>
              <w:t>. szerint tart</w:t>
            </w:r>
            <w:r w:rsidR="00D166B3" w:rsidRPr="001E1455">
              <w:rPr>
                <w:sz w:val="22"/>
                <w:szCs w:val="22"/>
              </w:rPr>
              <w:t>ott</w:t>
            </w:r>
            <w:r w:rsidRPr="001E1455">
              <w:rPr>
                <w:sz w:val="22"/>
                <w:szCs w:val="22"/>
              </w:rPr>
              <w:t>a nyilván</w:t>
            </w:r>
            <w:r w:rsidR="00E678B2" w:rsidRPr="001E1455">
              <w:rPr>
                <w:sz w:val="22"/>
                <w:szCs w:val="22"/>
              </w:rPr>
              <w:t xml:space="preserve"> </w:t>
            </w:r>
            <w:r w:rsidR="000A111B">
              <w:rPr>
                <w:sz w:val="22"/>
                <w:szCs w:val="22"/>
              </w:rPr>
              <w:t xml:space="preserve">a </w:t>
            </w:r>
            <w:r w:rsidR="00E678B2" w:rsidRPr="001E1455">
              <w:rPr>
                <w:color w:val="000000"/>
                <w:sz w:val="22"/>
                <w:szCs w:val="22"/>
              </w:rPr>
              <w:t>Szikla Integrált Könyvtári rendszerben</w:t>
            </w:r>
            <w:r w:rsidRPr="001E1455">
              <w:rPr>
                <w:sz w:val="22"/>
                <w:szCs w:val="22"/>
              </w:rPr>
              <w:t xml:space="preserve">. A mintavételezett könyvtári dokumentumok tartalmi elemeinek rögzítése a </w:t>
            </w:r>
            <w:r w:rsidR="00FC511A">
              <w:rPr>
                <w:sz w:val="22"/>
                <w:szCs w:val="22"/>
              </w:rPr>
              <w:t>k</w:t>
            </w:r>
            <w:r w:rsidRPr="001E1455">
              <w:rPr>
                <w:sz w:val="22"/>
                <w:szCs w:val="22"/>
              </w:rPr>
              <w:t>önyvtári rendszerben megfelel</w:t>
            </w:r>
            <w:r w:rsidR="00DF0917" w:rsidRPr="001E1455">
              <w:rPr>
                <w:sz w:val="22"/>
                <w:szCs w:val="22"/>
              </w:rPr>
              <w:t>t</w:t>
            </w:r>
            <w:r w:rsidRPr="001E1455">
              <w:rPr>
                <w:sz w:val="22"/>
                <w:szCs w:val="22"/>
              </w:rPr>
              <w:t>ek a valóságnak.  A könyvtári dokumentumokról egyedi és összesített nyilvántartás</w:t>
            </w:r>
            <w:r w:rsidR="00141BFA">
              <w:rPr>
                <w:sz w:val="22"/>
                <w:szCs w:val="22"/>
              </w:rPr>
              <w:t>t vezettek</w:t>
            </w:r>
            <w:r w:rsidRPr="001E1455">
              <w:rPr>
                <w:sz w:val="22"/>
                <w:szCs w:val="22"/>
              </w:rPr>
              <w:t>.</w:t>
            </w:r>
          </w:p>
          <w:p w:rsidR="00202C7D" w:rsidRPr="001E1455" w:rsidRDefault="00D166B3" w:rsidP="00627671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 xml:space="preserve">Az </w:t>
            </w:r>
            <w:r w:rsidR="009B6770" w:rsidRPr="001E1455">
              <w:rPr>
                <w:sz w:val="22"/>
                <w:szCs w:val="22"/>
              </w:rPr>
              <w:t>könyv</w:t>
            </w:r>
            <w:r w:rsidRPr="001E1455">
              <w:rPr>
                <w:sz w:val="22"/>
                <w:szCs w:val="22"/>
              </w:rPr>
              <w:t>állomány bevételezése a</w:t>
            </w:r>
            <w:r w:rsidR="00202C7D" w:rsidRPr="001E1455">
              <w:rPr>
                <w:sz w:val="22"/>
                <w:szCs w:val="22"/>
              </w:rPr>
              <w:t>z intézmény könyveiben a</w:t>
            </w:r>
            <w:r w:rsidRPr="001E1455">
              <w:rPr>
                <w:sz w:val="22"/>
                <w:szCs w:val="22"/>
              </w:rPr>
              <w:t xml:space="preserve"> számviteli szabályok szerint </w:t>
            </w:r>
            <w:r w:rsidR="00202C7D" w:rsidRPr="001E1455">
              <w:rPr>
                <w:sz w:val="22"/>
                <w:szCs w:val="22"/>
              </w:rPr>
              <w:t>történt</w:t>
            </w:r>
            <w:r w:rsidR="00FE425F">
              <w:rPr>
                <w:sz w:val="22"/>
                <w:szCs w:val="22"/>
              </w:rPr>
              <w:t>.</w:t>
            </w:r>
            <w:r w:rsidR="009B6770" w:rsidRPr="001E1455">
              <w:rPr>
                <w:sz w:val="22"/>
                <w:szCs w:val="22"/>
              </w:rPr>
              <w:t xml:space="preserve"> </w:t>
            </w:r>
            <w:r w:rsidR="00FE425F">
              <w:rPr>
                <w:sz w:val="22"/>
                <w:szCs w:val="22"/>
              </w:rPr>
              <w:t>A</w:t>
            </w:r>
            <w:r w:rsidR="009B6770" w:rsidRPr="001E1455">
              <w:rPr>
                <w:sz w:val="22"/>
                <w:szCs w:val="22"/>
              </w:rPr>
              <w:t xml:space="preserve">z </w:t>
            </w:r>
            <w:r w:rsidR="009B6770" w:rsidRPr="001E1455">
              <w:rPr>
                <w:color w:val="000000"/>
                <w:sz w:val="22"/>
                <w:szCs w:val="22"/>
              </w:rPr>
              <w:t>ASP Gazdálkodási Szakrendszerben az analitikus és a főkönyvi nyilvántartás adatai megegyeztek</w:t>
            </w:r>
            <w:r w:rsidRPr="001E1455">
              <w:rPr>
                <w:sz w:val="22"/>
                <w:szCs w:val="22"/>
              </w:rPr>
              <w:t>.</w:t>
            </w:r>
          </w:p>
          <w:p w:rsidR="00B31DDB" w:rsidRPr="001E1455" w:rsidRDefault="00122E53" w:rsidP="00627671">
            <w:pPr>
              <w:jc w:val="both"/>
              <w:rPr>
                <w:sz w:val="22"/>
                <w:szCs w:val="22"/>
              </w:rPr>
            </w:pPr>
            <w:r w:rsidRPr="001E1455">
              <w:rPr>
                <w:color w:val="000000"/>
                <w:sz w:val="22"/>
                <w:szCs w:val="22"/>
              </w:rPr>
              <w:t xml:space="preserve">Az ellenőrzés megállapította, hogy </w:t>
            </w:r>
            <w:r w:rsidR="00627671" w:rsidRPr="001E1455">
              <w:rPr>
                <w:color w:val="000000"/>
                <w:sz w:val="22"/>
                <w:szCs w:val="22"/>
              </w:rPr>
              <w:t>egy</w:t>
            </w:r>
            <w:r w:rsidR="00873104" w:rsidRPr="001E1455">
              <w:rPr>
                <w:color w:val="000000"/>
                <w:sz w:val="22"/>
                <w:szCs w:val="22"/>
              </w:rPr>
              <w:t xml:space="preserve"> szállító </w:t>
            </w:r>
            <w:r w:rsidR="00627671" w:rsidRPr="001E1455">
              <w:rPr>
                <w:color w:val="000000"/>
                <w:sz w:val="22"/>
                <w:szCs w:val="22"/>
              </w:rPr>
              <w:t>esetben az</w:t>
            </w:r>
            <w:r w:rsidR="00873104" w:rsidRPr="001E1455">
              <w:rPr>
                <w:color w:val="000000"/>
                <w:sz w:val="22"/>
                <w:szCs w:val="22"/>
              </w:rPr>
              <w:t xml:space="preserve"> elektronikusan visszaküldött megrendelő nem került csatolásra a pénzügyi teljesítéshez, a kötelezettségvállalási dokumentumként kezelt Értékesítési szerződés pedig nem felelt meg teljes mértékben az </w:t>
            </w:r>
            <w:proofErr w:type="spellStart"/>
            <w:r w:rsidR="00873104" w:rsidRPr="001E1455">
              <w:rPr>
                <w:color w:val="000000"/>
                <w:sz w:val="22"/>
                <w:szCs w:val="22"/>
              </w:rPr>
              <w:t>Ávr</w:t>
            </w:r>
            <w:proofErr w:type="spellEnd"/>
            <w:r w:rsidR="00873104" w:rsidRPr="001E1455">
              <w:rPr>
                <w:color w:val="000000"/>
                <w:sz w:val="22"/>
                <w:szCs w:val="22"/>
              </w:rPr>
              <w:t xml:space="preserve">. tartalmi követelményeinek. </w:t>
            </w:r>
            <w:r w:rsidRPr="001E1455">
              <w:rPr>
                <w:color w:val="000000"/>
                <w:sz w:val="22"/>
                <w:szCs w:val="22"/>
              </w:rPr>
              <w:t xml:space="preserve"> </w:t>
            </w:r>
          </w:p>
          <w:p w:rsidR="00D166B3" w:rsidRPr="001E1455" w:rsidRDefault="00EF504C" w:rsidP="001E1455">
            <w:pPr>
              <w:jc w:val="both"/>
              <w:rPr>
                <w:sz w:val="22"/>
                <w:szCs w:val="22"/>
              </w:rPr>
            </w:pPr>
            <w:r w:rsidRPr="001E1455">
              <w:rPr>
                <w:bCs/>
                <w:color w:val="000000"/>
                <w:sz w:val="22"/>
                <w:szCs w:val="22"/>
              </w:rPr>
              <w:t>A visszaigazol</w:t>
            </w:r>
            <w:r w:rsidR="00013B7B" w:rsidRPr="001E1455">
              <w:rPr>
                <w:bCs/>
                <w:color w:val="000000"/>
                <w:sz w:val="22"/>
                <w:szCs w:val="22"/>
              </w:rPr>
              <w:t>t megrendelő</w:t>
            </w:r>
            <w:r w:rsidRPr="001E1455">
              <w:rPr>
                <w:bCs/>
                <w:color w:val="000000"/>
                <w:sz w:val="22"/>
                <w:szCs w:val="22"/>
              </w:rPr>
              <w:t xml:space="preserve"> minden esetben tartalmaz</w:t>
            </w:r>
            <w:r w:rsidR="00013B7B" w:rsidRPr="001E1455">
              <w:rPr>
                <w:bCs/>
                <w:color w:val="000000"/>
                <w:sz w:val="22"/>
                <w:szCs w:val="22"/>
              </w:rPr>
              <w:t>t</w:t>
            </w:r>
            <w:r w:rsidRPr="001E1455">
              <w:rPr>
                <w:bCs/>
                <w:color w:val="000000"/>
                <w:sz w:val="22"/>
                <w:szCs w:val="22"/>
              </w:rPr>
              <w:t xml:space="preserve">a a rendelés azonosítóját, a választott átvételi és fizetési módot, a rendelés értékét, a szállítási feltételeket, termék megnevezést és darabszámot, valamint a </w:t>
            </w:r>
            <w:r w:rsidR="00BE75C1">
              <w:rPr>
                <w:bCs/>
                <w:color w:val="000000"/>
                <w:sz w:val="22"/>
                <w:szCs w:val="22"/>
              </w:rPr>
              <w:t>f</w:t>
            </w:r>
            <w:r w:rsidRPr="001E1455">
              <w:rPr>
                <w:bCs/>
                <w:color w:val="000000"/>
                <w:sz w:val="22"/>
                <w:szCs w:val="22"/>
              </w:rPr>
              <w:t>elhasználó szállítási és számlázási adatait</w:t>
            </w:r>
            <w:r w:rsidRPr="001E1455">
              <w:rPr>
                <w:sz w:val="22"/>
                <w:szCs w:val="22"/>
              </w:rPr>
              <w:t>.</w:t>
            </w:r>
          </w:p>
          <w:p w:rsidR="001E1455" w:rsidRPr="001E1455" w:rsidRDefault="00EF48F4" w:rsidP="00BE75C1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>Az ellenőrzés megállapította, hogy a</w:t>
            </w:r>
            <w:r w:rsidR="001E1455" w:rsidRPr="001E1455">
              <w:rPr>
                <w:sz w:val="22"/>
                <w:szCs w:val="22"/>
              </w:rPr>
              <w:t xml:space="preserve"> </w:t>
            </w:r>
            <w:r w:rsidRPr="001E1455">
              <w:rPr>
                <w:sz w:val="22"/>
                <w:szCs w:val="22"/>
              </w:rPr>
              <w:t xml:space="preserve">belső kontrollrendszer hatékony működése érdekében az Intézménynél </w:t>
            </w:r>
            <w:r w:rsidR="001E1455" w:rsidRPr="001E1455">
              <w:rPr>
                <w:sz w:val="22"/>
                <w:szCs w:val="22"/>
              </w:rPr>
              <w:t xml:space="preserve">az ellenőrzési nyomvonalakban megfelelően szemléltették </w:t>
            </w:r>
            <w:r w:rsidRPr="001E1455">
              <w:rPr>
                <w:sz w:val="22"/>
                <w:szCs w:val="22"/>
              </w:rPr>
              <w:t>a tevékenységek által lefedett lényeges folyamatok</w:t>
            </w:r>
            <w:r w:rsidR="001E1455" w:rsidRPr="001E1455">
              <w:rPr>
                <w:sz w:val="22"/>
                <w:szCs w:val="22"/>
              </w:rPr>
              <w:t>at</w:t>
            </w:r>
            <w:r w:rsidRPr="001E1455">
              <w:rPr>
                <w:sz w:val="22"/>
                <w:szCs w:val="22"/>
              </w:rPr>
              <w:t>, azok kapcsolódási pontjai</w:t>
            </w:r>
            <w:r w:rsidR="001E1455" w:rsidRPr="001E1455">
              <w:rPr>
                <w:sz w:val="22"/>
                <w:szCs w:val="22"/>
              </w:rPr>
              <w:t xml:space="preserve">t. </w:t>
            </w:r>
          </w:p>
          <w:p w:rsidR="00787148" w:rsidRPr="001E1455" w:rsidRDefault="00787148" w:rsidP="00D166B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46" w:rsidRPr="001E1455" w:rsidRDefault="003D0846" w:rsidP="003D0846">
            <w:pPr>
              <w:jc w:val="both"/>
              <w:rPr>
                <w:sz w:val="22"/>
                <w:szCs w:val="22"/>
                <w:u w:val="single"/>
              </w:rPr>
            </w:pPr>
          </w:p>
          <w:p w:rsidR="00EF48F4" w:rsidRPr="001E1455" w:rsidRDefault="00EF48F4" w:rsidP="00EF48F4">
            <w:pPr>
              <w:pStyle w:val="Norm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1E1455">
              <w:rPr>
                <w:color w:val="000000"/>
                <w:sz w:val="22"/>
                <w:szCs w:val="22"/>
                <w:u w:val="single"/>
              </w:rPr>
              <w:t xml:space="preserve">Intézményvezető és Pénzügyi Iroda vezető részére: </w:t>
            </w:r>
          </w:p>
          <w:p w:rsidR="00EF48F4" w:rsidRPr="001E1455" w:rsidRDefault="00EF48F4" w:rsidP="00EF48F4">
            <w:pPr>
              <w:pStyle w:val="Norm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EF48F4" w:rsidRPr="001E1455" w:rsidRDefault="002A28B5" w:rsidP="00EF48F4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>1</w:t>
            </w:r>
            <w:r w:rsidR="00EF48F4" w:rsidRPr="001E1455">
              <w:rPr>
                <w:sz w:val="22"/>
                <w:szCs w:val="22"/>
              </w:rPr>
              <w:t xml:space="preserve">./ A Szolgáltató által visszaigazolt megrendelők csatolása </w:t>
            </w:r>
            <w:r w:rsidRPr="001E1455">
              <w:rPr>
                <w:sz w:val="22"/>
                <w:szCs w:val="22"/>
              </w:rPr>
              <w:t>a beszerzés dokumentumaihoz</w:t>
            </w:r>
            <w:r w:rsidR="002856C4">
              <w:rPr>
                <w:sz w:val="22"/>
                <w:szCs w:val="22"/>
              </w:rPr>
              <w:t xml:space="preserve">, a </w:t>
            </w:r>
            <w:r w:rsidR="002856C4" w:rsidRPr="001E1455">
              <w:rPr>
                <w:sz w:val="22"/>
                <w:szCs w:val="22"/>
              </w:rPr>
              <w:t>szállítói számlák teljesítésigazolását megelőzően</w:t>
            </w:r>
            <w:r w:rsidR="00EF48F4" w:rsidRPr="001E1455">
              <w:rPr>
                <w:sz w:val="22"/>
                <w:szCs w:val="22"/>
              </w:rPr>
              <w:t xml:space="preserve">. </w:t>
            </w:r>
          </w:p>
          <w:p w:rsidR="003E1022" w:rsidRPr="001E1455" w:rsidRDefault="002A28B5" w:rsidP="00EF48F4">
            <w:pPr>
              <w:jc w:val="both"/>
              <w:rPr>
                <w:sz w:val="22"/>
                <w:szCs w:val="22"/>
              </w:rPr>
            </w:pPr>
            <w:r w:rsidRPr="001E1455">
              <w:rPr>
                <w:sz w:val="22"/>
                <w:szCs w:val="22"/>
              </w:rPr>
              <w:t>2</w:t>
            </w:r>
            <w:r w:rsidR="00EF48F4" w:rsidRPr="001E1455">
              <w:rPr>
                <w:sz w:val="22"/>
                <w:szCs w:val="22"/>
              </w:rPr>
              <w:t>./ A</w:t>
            </w:r>
            <w:r w:rsidR="007742B7">
              <w:rPr>
                <w:sz w:val="22"/>
                <w:szCs w:val="22"/>
              </w:rPr>
              <w:t xml:space="preserve"> </w:t>
            </w:r>
            <w:r w:rsidR="002856C4" w:rsidRPr="001E1455">
              <w:rPr>
                <w:sz w:val="22"/>
                <w:szCs w:val="22"/>
              </w:rPr>
              <w:t>2023. évi</w:t>
            </w:r>
            <w:r w:rsidR="00EF48F4" w:rsidRPr="001E1455">
              <w:rPr>
                <w:sz w:val="22"/>
                <w:szCs w:val="22"/>
              </w:rPr>
              <w:t xml:space="preserve"> visszaigazolt megrendelők pótlólagos csatolása a számlák</w:t>
            </w:r>
            <w:r w:rsidR="0071786A" w:rsidRPr="001E1455">
              <w:rPr>
                <w:sz w:val="22"/>
                <w:szCs w:val="22"/>
              </w:rPr>
              <w:t>hoz</w:t>
            </w:r>
            <w:r w:rsidR="00EF48F4" w:rsidRPr="001E1455">
              <w:rPr>
                <w:sz w:val="22"/>
                <w:szCs w:val="22"/>
              </w:rPr>
              <w:t>.</w:t>
            </w:r>
          </w:p>
          <w:p w:rsidR="00D16B8A" w:rsidRPr="001E1455" w:rsidRDefault="00D16B8A" w:rsidP="00184DB1">
            <w:pPr>
              <w:jc w:val="both"/>
              <w:rPr>
                <w:sz w:val="22"/>
                <w:szCs w:val="22"/>
              </w:rPr>
            </w:pPr>
          </w:p>
        </w:tc>
      </w:tr>
    </w:tbl>
    <w:p w:rsidR="00203CD3" w:rsidRPr="001E0BF5" w:rsidRDefault="00203CD3" w:rsidP="00422B8B">
      <w:pPr>
        <w:jc w:val="both"/>
        <w:rPr>
          <w:sz w:val="22"/>
          <w:szCs w:val="22"/>
          <w:u w:val="single"/>
        </w:rPr>
      </w:pPr>
    </w:p>
    <w:p w:rsidR="00422B8B" w:rsidRDefault="00422B8B" w:rsidP="00422B8B">
      <w:pPr>
        <w:jc w:val="both"/>
      </w:pPr>
      <w:r w:rsidRPr="00A62437">
        <w:rPr>
          <w:u w:val="single"/>
        </w:rPr>
        <w:t xml:space="preserve">II.2./ A belső kontrollrendszer öt elemének értékelése  </w:t>
      </w:r>
      <w:r>
        <w:tab/>
      </w:r>
    </w:p>
    <w:p w:rsidR="00242E57" w:rsidRPr="00F82130" w:rsidRDefault="00242E57" w:rsidP="00422B8B">
      <w:pPr>
        <w:jc w:val="both"/>
        <w:rPr>
          <w:u w:val="single"/>
        </w:rPr>
      </w:pPr>
    </w:p>
    <w:p w:rsidR="00422B8B" w:rsidRDefault="00422B8B" w:rsidP="00422B8B">
      <w:pPr>
        <w:jc w:val="both"/>
      </w:pPr>
      <w:r>
        <w:t>II.2.1./ Kontrollkörnyezet</w:t>
      </w:r>
    </w:p>
    <w:p w:rsidR="006174E0" w:rsidRDefault="00CF0498" w:rsidP="00656E40">
      <w:pPr>
        <w:jc w:val="both"/>
      </w:pPr>
      <w:r>
        <w:t>Az intézménynél</w:t>
      </w:r>
      <w:r w:rsidR="00422B8B">
        <w:t xml:space="preserve"> a kontrollkörnyezetet a jól kialakított szervezeti struktúra, a tevékenységek szabályozottsága, az alkalmazottak részére dokumentáltan meghatározott feladatkörök és felelősségek biztosították. A szervezeti struktúra világos, a felelősségi viszonyok egyértelműen kerültek kialakít</w:t>
      </w:r>
      <w:r>
        <w:t>ásra</w:t>
      </w:r>
      <w:r w:rsidR="00656E40">
        <w:t xml:space="preserve">, a munkaköri leírásokban a személyre szabott feladatokat meghatározták. </w:t>
      </w:r>
      <w:r w:rsidR="009A7956">
        <w:t xml:space="preserve">A Könyvtárnál </w:t>
      </w:r>
      <w:r w:rsidR="006174E0">
        <w:t>a</w:t>
      </w:r>
      <w:r w:rsidR="00422B8B">
        <w:t xml:space="preserve"> működést és gazdálkodást megal</w:t>
      </w:r>
      <w:r w:rsidR="00656E40">
        <w:t xml:space="preserve">apozó </w:t>
      </w:r>
      <w:r w:rsidR="00422B8B">
        <w:t>sza</w:t>
      </w:r>
      <w:r w:rsidR="006174E0">
        <w:t>bályozó rendszert a</w:t>
      </w:r>
      <w:r w:rsidR="00A97D19">
        <w:t>z állománygyarapítás</w:t>
      </w:r>
      <w:r w:rsidR="006174E0">
        <w:t xml:space="preserve"> tekintetében kialakították. </w:t>
      </w:r>
      <w:r w:rsidR="00C2569D">
        <w:t xml:space="preserve"> </w:t>
      </w:r>
    </w:p>
    <w:p w:rsidR="00C2569D" w:rsidRDefault="00C2569D" w:rsidP="00656E40">
      <w:pPr>
        <w:jc w:val="both"/>
      </w:pPr>
    </w:p>
    <w:p w:rsidR="00933457" w:rsidRDefault="00933457" w:rsidP="00656E40">
      <w:pPr>
        <w:jc w:val="both"/>
      </w:pPr>
    </w:p>
    <w:p w:rsidR="00422B8B" w:rsidRDefault="00422B8B" w:rsidP="00422B8B">
      <w:pPr>
        <w:jc w:val="both"/>
      </w:pPr>
      <w:r>
        <w:lastRenderedPageBreak/>
        <w:t>II.2.2./ Kockázatkezelési rendszer</w:t>
      </w:r>
    </w:p>
    <w:p w:rsidR="00422B8B" w:rsidRDefault="00BF7497" w:rsidP="00422B8B">
      <w:pPr>
        <w:jc w:val="both"/>
      </w:pPr>
      <w:r>
        <w:t xml:space="preserve">A </w:t>
      </w:r>
      <w:proofErr w:type="spellStart"/>
      <w:r>
        <w:t>Bkr</w:t>
      </w:r>
      <w:proofErr w:type="spellEnd"/>
      <w:r>
        <w:t xml:space="preserve">. alapján </w:t>
      </w:r>
      <w:r w:rsidR="00422B8B">
        <w:t>a kockázatkezelést integráltan, az összes tevékenységre és folyamatra kiterjedően ke</w:t>
      </w:r>
      <w:r w:rsidR="002B4E9F">
        <w:t>ll elvégezni</w:t>
      </w:r>
      <w:r w:rsidR="006C29E9">
        <w:t>. Az intézményben az ellenőrzöt</w:t>
      </w:r>
      <w:r w:rsidR="002B4E9F">
        <w:t>t időszakb</w:t>
      </w:r>
      <w:r w:rsidR="00E66E71">
        <w:t>an a kockázatkezelés szabályozása megtörtént. A</w:t>
      </w:r>
      <w:r w:rsidR="002B4E9F">
        <w:t xml:space="preserve"> rendszer mű</w:t>
      </w:r>
      <w:r w:rsidR="00E66E71">
        <w:t>ködtetésére a szabályzat előírásai alapján került sor</w:t>
      </w:r>
      <w:r w:rsidR="0086128B">
        <w:t xml:space="preserve">, a kockázatok </w:t>
      </w:r>
      <w:r w:rsidR="00980C4B">
        <w:t>kezeléséről gondoskodtak</w:t>
      </w:r>
      <w:r w:rsidR="002B4E9F">
        <w:t>.</w:t>
      </w:r>
      <w:r w:rsidR="00422B8B">
        <w:t xml:space="preserve"> 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II.2.3./ Kontrolltevékenységek</w:t>
      </w:r>
    </w:p>
    <w:p w:rsidR="00422B8B" w:rsidRDefault="00422B8B" w:rsidP="00422B8B">
      <w:pPr>
        <w:jc w:val="both"/>
      </w:pPr>
      <w:r>
        <w:t>A kontrolltevékenységek beépültek a napi folyamat</w:t>
      </w:r>
      <w:r w:rsidR="006C29E9">
        <w:t xml:space="preserve">okba. A kontrolltevékenységeket elsődlegesen </w:t>
      </w:r>
      <w:r>
        <w:t>a</w:t>
      </w:r>
      <w:r w:rsidR="006C29E9">
        <w:t>z</w:t>
      </w:r>
      <w:r>
        <w:t xml:space="preserve"> </w:t>
      </w:r>
      <w:r w:rsidR="006C29E9">
        <w:t>intézményvezető biztosította</w:t>
      </w:r>
      <w:r>
        <w:t>, a folyamatba épített ellenőrzés keretein belül. A kontrolltevéken</w:t>
      </w:r>
      <w:r w:rsidR="00AE779B">
        <w:t xml:space="preserve">ység egyes elemei </w:t>
      </w:r>
      <w:r>
        <w:t>az alkalmazottak munkakörébe beépített ellenőrzési feladatok útján érvényesültek.</w:t>
      </w:r>
      <w:r w:rsidR="006C29E9">
        <w:t xml:space="preserve"> </w:t>
      </w:r>
      <w:r w:rsidR="005D4FC7">
        <w:t>A</w:t>
      </w:r>
      <w:r w:rsidR="00CF2D6E">
        <w:t xml:space="preserve"> könyvbeszerzés</w:t>
      </w:r>
      <w:r w:rsidR="00245841">
        <w:t xml:space="preserve"> tekintetében a</w:t>
      </w:r>
      <w:r w:rsidR="00CF2D6E">
        <w:t xml:space="preserve"> </w:t>
      </w:r>
      <w:r w:rsidR="00245841">
        <w:t xml:space="preserve">kontrolltevékenység </w:t>
      </w:r>
      <w:r w:rsidR="00CF2D6E">
        <w:t>erősítése javasolt a kötelezettségvállalási dokumentumok megfelelősége érdekében</w:t>
      </w:r>
      <w:r w:rsidR="005D4FC7">
        <w:t>.</w:t>
      </w:r>
      <w:r w:rsidR="00CF2D6E">
        <w:t xml:space="preserve"> </w:t>
      </w:r>
      <w:r>
        <w:t xml:space="preserve"> </w:t>
      </w:r>
    </w:p>
    <w:p w:rsidR="00E81351" w:rsidRDefault="00E81351" w:rsidP="00422B8B">
      <w:pPr>
        <w:jc w:val="both"/>
      </w:pPr>
    </w:p>
    <w:p w:rsidR="00422B8B" w:rsidRDefault="00422B8B" w:rsidP="00422B8B">
      <w:pPr>
        <w:jc w:val="both"/>
      </w:pPr>
      <w:r>
        <w:t>II.2.4./ Információ és kommunikációs rendszer</w:t>
      </w:r>
    </w:p>
    <w:p w:rsidR="00422B8B" w:rsidRDefault="00422B8B" w:rsidP="00422B8B">
      <w:pPr>
        <w:jc w:val="both"/>
      </w:pPr>
      <w:r>
        <w:t>Az információs és kommunikációs rendszer megfelelő kialakítása biztosította</w:t>
      </w:r>
      <w:r w:rsidRPr="00934F7B">
        <w:t>, hogy a megfelelő információk a megfelelő időb</w:t>
      </w:r>
      <w:r>
        <w:t>en eljussanak</w:t>
      </w:r>
      <w:r w:rsidR="000A0FB9">
        <w:t xml:space="preserve"> az illetékes szervezethez</w:t>
      </w:r>
      <w:r w:rsidR="00A457E8">
        <w:t>,</w:t>
      </w:r>
      <w:r w:rsidR="000A0FB9">
        <w:t xml:space="preserve"> személyhez. Az iktatási rendszer biztosította</w:t>
      </w:r>
      <w:r>
        <w:t xml:space="preserve"> az adatok megfelelő rendezettségét, tárolását és archiválását.</w:t>
      </w:r>
      <w:r w:rsidR="000A0FB9">
        <w:t xml:space="preserve"> </w:t>
      </w:r>
      <w:r>
        <w:t xml:space="preserve">Az ellenőrzés a beszámolási időszakban nem tett olyan megállapítást, mely az információ és kommunikációs rendszer hiányosságait tárta fel.     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II.2.5./ Monitoring (Nyomon követési rendszer)</w:t>
      </w:r>
    </w:p>
    <w:p w:rsidR="00422B8B" w:rsidRDefault="000A0FB9" w:rsidP="00422B8B">
      <w:pPr>
        <w:jc w:val="both"/>
      </w:pPr>
      <w:r>
        <w:t>Az intézményvezetőnek</w:t>
      </w:r>
      <w:r w:rsidR="00422B8B">
        <w:t xml:space="preserve"> </w:t>
      </w:r>
      <w:r w:rsidR="00422B8B" w:rsidRPr="00E60F83">
        <w:t>olyan monitoring rendszert</w:t>
      </w:r>
      <w:r w:rsidR="00422B8B">
        <w:t xml:space="preserve"> kell</w:t>
      </w:r>
      <w:r w:rsidR="00422B8B" w:rsidRPr="00E60F83">
        <w:t xml:space="preserve"> működtetni, mely lehetővé teszi a szervezet tevékenységének, a célok megvalósításának nyomon k</w:t>
      </w:r>
      <w:r w:rsidR="00422B8B">
        <w:t>övetését. A monitoring rendszer</w:t>
      </w:r>
      <w:r w:rsidR="00422B8B" w:rsidRPr="00E60F83">
        <w:t xml:space="preserve"> az operatív tevékenységek keretében megvalósuló folyamatos és eseti nyomon követésből, valamint az operatív tevékenységektől függetlenül működő belső ellenőrzésből áll</w:t>
      </w:r>
      <w:r w:rsidR="00AF1F5A">
        <w:t>t</w:t>
      </w:r>
      <w:r w:rsidR="00422B8B" w:rsidRPr="00E60F83">
        <w:t xml:space="preserve">. </w:t>
      </w:r>
      <w:r w:rsidR="00422B8B">
        <w:t>A monitoring rendszer részét képező bel</w:t>
      </w:r>
      <w:r w:rsidR="00AB21E5">
        <w:t>ső ellenőrzés működését az intézményvezető</w:t>
      </w:r>
      <w:r w:rsidR="00422B8B">
        <w:t xml:space="preserve"> a jogszabályban előírt keretek között biztosította.</w:t>
      </w:r>
    </w:p>
    <w:p w:rsidR="005D4FC7" w:rsidRDefault="005D4FC7" w:rsidP="00422B8B">
      <w:pPr>
        <w:jc w:val="both"/>
      </w:pPr>
    </w:p>
    <w:p w:rsidR="005D4FC7" w:rsidRDefault="00422B8B" w:rsidP="00422B8B">
      <w:pPr>
        <w:jc w:val="both"/>
        <w:rPr>
          <w:b/>
          <w:bCs/>
        </w:rPr>
      </w:pPr>
      <w:r>
        <w:rPr>
          <w:b/>
          <w:bCs/>
        </w:rPr>
        <w:t>III./ Az intézkedési tervek megvalósítása</w:t>
      </w:r>
    </w:p>
    <w:p w:rsidR="005D4FC7" w:rsidRDefault="005D4FC7" w:rsidP="00422B8B">
      <w:pPr>
        <w:jc w:val="both"/>
        <w:rPr>
          <w:bCs/>
        </w:rPr>
      </w:pPr>
    </w:p>
    <w:p w:rsidR="00DE09E4" w:rsidRDefault="00DE09E4" w:rsidP="00DE09E4">
      <w:pPr>
        <w:jc w:val="both"/>
        <w:rPr>
          <w:bCs/>
        </w:rPr>
      </w:pPr>
      <w:r>
        <w:rPr>
          <w:bCs/>
        </w:rPr>
        <w:t xml:space="preserve">  a/ A belső ellenőrzés vizsgálati jelentéseihez kapcsolódó intézkedési tervek megvalósítása</w:t>
      </w:r>
    </w:p>
    <w:p w:rsidR="00DE09E4" w:rsidRDefault="00DE09E4" w:rsidP="00DE09E4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524"/>
        <w:gridCol w:w="1701"/>
        <w:gridCol w:w="1363"/>
      </w:tblGrid>
      <w:tr w:rsidR="00DE09E4" w:rsidTr="00C756D5">
        <w:tc>
          <w:tcPr>
            <w:tcW w:w="5524" w:type="dxa"/>
          </w:tcPr>
          <w:p w:rsidR="00DE09E4" w:rsidRPr="001C2843" w:rsidRDefault="00DE09E4" w:rsidP="00C756D5">
            <w:pPr>
              <w:jc w:val="center"/>
              <w:rPr>
                <w:b/>
                <w:sz w:val="22"/>
                <w:szCs w:val="22"/>
              </w:rPr>
            </w:pPr>
            <w:r w:rsidRPr="001C2843">
              <w:rPr>
                <w:b/>
                <w:sz w:val="22"/>
                <w:szCs w:val="22"/>
              </w:rPr>
              <w:t>Intézkedések</w:t>
            </w:r>
          </w:p>
          <w:p w:rsidR="00DE09E4" w:rsidRPr="001C2843" w:rsidRDefault="00DE09E4" w:rsidP="00C756D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DE09E4" w:rsidRPr="001C2843" w:rsidRDefault="00DE09E4" w:rsidP="00C756D5">
            <w:pPr>
              <w:jc w:val="both"/>
              <w:rPr>
                <w:b/>
                <w:sz w:val="22"/>
                <w:szCs w:val="22"/>
              </w:rPr>
            </w:pPr>
            <w:r w:rsidRPr="001C2843">
              <w:rPr>
                <w:b/>
                <w:sz w:val="22"/>
                <w:szCs w:val="22"/>
              </w:rPr>
              <w:t>Végrehajtásra előírt határidő</w:t>
            </w:r>
          </w:p>
        </w:tc>
        <w:tc>
          <w:tcPr>
            <w:tcW w:w="1363" w:type="dxa"/>
          </w:tcPr>
          <w:p w:rsidR="00DE09E4" w:rsidRPr="001C2843" w:rsidRDefault="00DE09E4" w:rsidP="00C756D5">
            <w:pPr>
              <w:jc w:val="both"/>
              <w:rPr>
                <w:b/>
                <w:sz w:val="22"/>
                <w:szCs w:val="22"/>
              </w:rPr>
            </w:pPr>
            <w:r w:rsidRPr="001C2843">
              <w:rPr>
                <w:b/>
                <w:sz w:val="22"/>
                <w:szCs w:val="22"/>
              </w:rPr>
              <w:t>Végrehajtás ideje</w:t>
            </w:r>
          </w:p>
        </w:tc>
      </w:tr>
      <w:tr w:rsidR="00DE09E4" w:rsidTr="00C756D5">
        <w:tc>
          <w:tcPr>
            <w:tcW w:w="5524" w:type="dxa"/>
          </w:tcPr>
          <w:p w:rsidR="00DE09E4" w:rsidRPr="00205D02" w:rsidRDefault="004A330E" w:rsidP="00C756D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 </w:t>
            </w:r>
            <w:r w:rsidRPr="004A330E">
              <w:rPr>
                <w:sz w:val="22"/>
                <w:szCs w:val="22"/>
              </w:rPr>
              <w:t>Átadás-átvételi jegyzőkönyv formanyomtatvány készítése. A továbbiakban a kilépő dolgoz</w:t>
            </w:r>
            <w:r>
              <w:rPr>
                <w:sz w:val="22"/>
                <w:szCs w:val="22"/>
              </w:rPr>
              <w:t>ó</w:t>
            </w:r>
            <w:r w:rsidRPr="004A330E">
              <w:rPr>
                <w:sz w:val="22"/>
                <w:szCs w:val="22"/>
              </w:rPr>
              <w:t>k munkakör átadás-átvételi jegyzőkönyv készítésének meglétéről való gondoskodás munkaköri leírásban rögzül.</w:t>
            </w:r>
          </w:p>
        </w:tc>
        <w:tc>
          <w:tcPr>
            <w:tcW w:w="1701" w:type="dxa"/>
          </w:tcPr>
          <w:p w:rsidR="00DE09E4" w:rsidRPr="00205D02" w:rsidRDefault="00980A09" w:rsidP="00C756D5">
            <w:pPr>
              <w:jc w:val="both"/>
              <w:rPr>
                <w:sz w:val="22"/>
                <w:szCs w:val="22"/>
              </w:rPr>
            </w:pPr>
            <w:r w:rsidRPr="00980A09">
              <w:rPr>
                <w:sz w:val="22"/>
                <w:szCs w:val="22"/>
              </w:rPr>
              <w:t>2023.05.30</w:t>
            </w:r>
          </w:p>
        </w:tc>
        <w:tc>
          <w:tcPr>
            <w:tcW w:w="1363" w:type="dxa"/>
          </w:tcPr>
          <w:p w:rsidR="00DE09E4" w:rsidRPr="00205D02" w:rsidRDefault="00980A09" w:rsidP="00C756D5">
            <w:pPr>
              <w:jc w:val="both"/>
              <w:rPr>
                <w:sz w:val="22"/>
                <w:szCs w:val="22"/>
              </w:rPr>
            </w:pPr>
            <w:r w:rsidRPr="00980A09">
              <w:rPr>
                <w:sz w:val="22"/>
                <w:szCs w:val="22"/>
              </w:rPr>
              <w:t>2023.05.</w:t>
            </w:r>
            <w:r>
              <w:rPr>
                <w:sz w:val="22"/>
                <w:szCs w:val="22"/>
              </w:rPr>
              <w:t>24.</w:t>
            </w:r>
          </w:p>
        </w:tc>
      </w:tr>
    </w:tbl>
    <w:p w:rsidR="00DE09E4" w:rsidRDefault="00DE09E4" w:rsidP="00DE09E4">
      <w:pPr>
        <w:jc w:val="both"/>
      </w:pPr>
    </w:p>
    <w:p w:rsidR="00DE09E4" w:rsidRDefault="00DE09E4" w:rsidP="00DE09E4">
      <w:r>
        <w:t xml:space="preserve">      b/ Külső ellenőrzésekhez kapcsolódó intézkedések megvalósítása</w:t>
      </w:r>
    </w:p>
    <w:p w:rsidR="00DE09E4" w:rsidRDefault="00DE09E4" w:rsidP="00DE09E4"/>
    <w:p w:rsidR="00DE09E4" w:rsidRDefault="00DE09E4" w:rsidP="00DE09E4">
      <w:pPr>
        <w:jc w:val="both"/>
      </w:pPr>
      <w:r>
        <w:t xml:space="preserve">Az intézményvezető nyilatkozata szerint az intézményben 2024. évben </w:t>
      </w:r>
      <w:r w:rsidR="00914E1F">
        <w:t>nem voltak</w:t>
      </w:r>
      <w:r>
        <w:t xml:space="preserve"> külső ellenőrzések</w:t>
      </w:r>
      <w:r w:rsidR="00914E1F">
        <w:t>.</w:t>
      </w:r>
      <w:r>
        <w:t xml:space="preserve">  </w:t>
      </w:r>
    </w:p>
    <w:p w:rsidR="000C0D58" w:rsidRPr="00EE1928" w:rsidRDefault="000C0D58" w:rsidP="00422B8B">
      <w:pPr>
        <w:jc w:val="both"/>
      </w:pPr>
    </w:p>
    <w:p w:rsidR="00BF3E4F" w:rsidRDefault="007D2936" w:rsidP="00422B8B">
      <w:r>
        <w:t>Cegléd, 202</w:t>
      </w:r>
      <w:r w:rsidR="00681AA8">
        <w:t>5</w:t>
      </w:r>
      <w:r>
        <w:t>. február 1</w:t>
      </w:r>
      <w:r w:rsidR="00BF3E4F">
        <w:t>4</w:t>
      </w:r>
      <w:r w:rsidR="00422B8B">
        <w:t>.</w:t>
      </w:r>
    </w:p>
    <w:p w:rsidR="00914E1F" w:rsidRDefault="00914E1F" w:rsidP="00422B8B"/>
    <w:p w:rsidR="00BF3E4F" w:rsidRDefault="003806E2" w:rsidP="00FD4050">
      <w:r>
        <w:t xml:space="preserve">                                         </w:t>
      </w:r>
      <w:r w:rsidR="00FD4050">
        <w:t xml:space="preserve"> </w:t>
      </w:r>
      <w:r>
        <w:t xml:space="preserve"> </w:t>
      </w:r>
      <w:r w:rsidR="00FD4050">
        <w:t xml:space="preserve">                                  </w:t>
      </w:r>
      <w:r w:rsidR="005D4FC7">
        <w:t xml:space="preserve">Jóváhagyta:    </w:t>
      </w:r>
      <w:r w:rsidR="00FD4050">
        <w:t xml:space="preserve"> </w:t>
      </w:r>
    </w:p>
    <w:p w:rsidR="00FD4050" w:rsidRDefault="00BF3E4F" w:rsidP="00FD4050">
      <w:r>
        <w:t xml:space="preserve">                                                                                                    </w:t>
      </w:r>
      <w:r w:rsidR="00FD4050">
        <w:t>Kabdebó-Ladik Lívia</w:t>
      </w:r>
    </w:p>
    <w:p w:rsidR="008A102C" w:rsidRDefault="005D4FC7" w:rsidP="00422B8B">
      <w:r>
        <w:t xml:space="preserve">                                                               </w:t>
      </w:r>
      <w:r w:rsidR="00422B8B">
        <w:t xml:space="preserve">                                          </w:t>
      </w:r>
      <w:r w:rsidR="00FD4050">
        <w:t>intézményvezető</w:t>
      </w:r>
      <w:r w:rsidR="003806E2">
        <w:t xml:space="preserve">    </w:t>
      </w:r>
    </w:p>
    <w:p w:rsidR="003806E2" w:rsidRDefault="003806E2" w:rsidP="00422B8B">
      <w:r>
        <w:t xml:space="preserve">                                                                                                                                                        </w:t>
      </w:r>
    </w:p>
    <w:sectPr w:rsidR="003806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3A" w:rsidRDefault="00A6253A" w:rsidP="007508D0">
      <w:r>
        <w:separator/>
      </w:r>
    </w:p>
  </w:endnote>
  <w:endnote w:type="continuationSeparator" w:id="0">
    <w:p w:rsidR="00A6253A" w:rsidRDefault="00A6253A" w:rsidP="0075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8D0" w:rsidRDefault="007508D0">
    <w:pPr>
      <w:pStyle w:val="llb"/>
      <w:jc w:val="center"/>
      <w:rPr>
        <w:color w:val="5B9BD5" w:themeColor="accent1"/>
      </w:rPr>
    </w:pPr>
    <w:r>
      <w:rPr>
        <w:color w:val="5B9BD5" w:themeColor="accent1"/>
      </w:rPr>
      <w:t xml:space="preserve"> </w:t>
    </w:r>
    <w:r w:rsidRPr="007508D0">
      <w:fldChar w:fldCharType="begin"/>
    </w:r>
    <w:r w:rsidRPr="007508D0">
      <w:instrText>PAGE  \* Arabic  \* MERGEFORMAT</w:instrText>
    </w:r>
    <w:r w:rsidRPr="007508D0">
      <w:fldChar w:fldCharType="separate"/>
    </w:r>
    <w:r w:rsidR="009D2DCB">
      <w:rPr>
        <w:noProof/>
      </w:rPr>
      <w:t>2</w:t>
    </w:r>
    <w:r w:rsidRPr="007508D0">
      <w:fldChar w:fldCharType="end"/>
    </w:r>
    <w:r w:rsidRPr="007508D0">
      <w:t xml:space="preserve"> / </w:t>
    </w:r>
    <w:r w:rsidR="00174EE4">
      <w:rPr>
        <w:noProof/>
      </w:rPr>
      <w:fldChar w:fldCharType="begin"/>
    </w:r>
    <w:r w:rsidR="00174EE4">
      <w:rPr>
        <w:noProof/>
      </w:rPr>
      <w:instrText>NUMPAGES  \* Arabic  \* MERGEFORMAT</w:instrText>
    </w:r>
    <w:r w:rsidR="00174EE4">
      <w:rPr>
        <w:noProof/>
      </w:rPr>
      <w:fldChar w:fldCharType="separate"/>
    </w:r>
    <w:r w:rsidR="009D2DCB">
      <w:rPr>
        <w:noProof/>
      </w:rPr>
      <w:t>6</w:t>
    </w:r>
    <w:r w:rsidR="00174EE4">
      <w:rPr>
        <w:noProof/>
      </w:rPr>
      <w:fldChar w:fldCharType="end"/>
    </w:r>
  </w:p>
  <w:p w:rsidR="007508D0" w:rsidRDefault="007508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3A" w:rsidRDefault="00A6253A" w:rsidP="007508D0">
      <w:r>
        <w:separator/>
      </w:r>
    </w:p>
  </w:footnote>
  <w:footnote w:type="continuationSeparator" w:id="0">
    <w:p w:rsidR="00A6253A" w:rsidRDefault="00A6253A" w:rsidP="00750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557B"/>
    <w:multiLevelType w:val="hybridMultilevel"/>
    <w:tmpl w:val="7116DD3C"/>
    <w:lvl w:ilvl="0" w:tplc="012C3CF2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551A0"/>
    <w:multiLevelType w:val="hybridMultilevel"/>
    <w:tmpl w:val="32F64D42"/>
    <w:lvl w:ilvl="0" w:tplc="9F1A48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D5"/>
    <w:rsid w:val="000112B2"/>
    <w:rsid w:val="00013AA4"/>
    <w:rsid w:val="00013B7B"/>
    <w:rsid w:val="00014EEE"/>
    <w:rsid w:val="00024C9C"/>
    <w:rsid w:val="00026255"/>
    <w:rsid w:val="00032A51"/>
    <w:rsid w:val="00032E1A"/>
    <w:rsid w:val="0003751B"/>
    <w:rsid w:val="00047656"/>
    <w:rsid w:val="000531BD"/>
    <w:rsid w:val="0005418C"/>
    <w:rsid w:val="000632E3"/>
    <w:rsid w:val="000728F9"/>
    <w:rsid w:val="00073713"/>
    <w:rsid w:val="00075E00"/>
    <w:rsid w:val="000856E9"/>
    <w:rsid w:val="0009701D"/>
    <w:rsid w:val="00097997"/>
    <w:rsid w:val="000A0CA5"/>
    <w:rsid w:val="000A0FB9"/>
    <w:rsid w:val="000A111B"/>
    <w:rsid w:val="000A25EE"/>
    <w:rsid w:val="000B3676"/>
    <w:rsid w:val="000C0D58"/>
    <w:rsid w:val="000C188C"/>
    <w:rsid w:val="000D45B5"/>
    <w:rsid w:val="000E1E62"/>
    <w:rsid w:val="00103587"/>
    <w:rsid w:val="001141F0"/>
    <w:rsid w:val="00122E53"/>
    <w:rsid w:val="0012721A"/>
    <w:rsid w:val="00131D9E"/>
    <w:rsid w:val="001329D0"/>
    <w:rsid w:val="00135616"/>
    <w:rsid w:val="0013651B"/>
    <w:rsid w:val="001374CF"/>
    <w:rsid w:val="00141BFA"/>
    <w:rsid w:val="0014464E"/>
    <w:rsid w:val="001570EC"/>
    <w:rsid w:val="0015795A"/>
    <w:rsid w:val="00174EE4"/>
    <w:rsid w:val="00177F26"/>
    <w:rsid w:val="0018327E"/>
    <w:rsid w:val="00184DB1"/>
    <w:rsid w:val="001859CB"/>
    <w:rsid w:val="0019495E"/>
    <w:rsid w:val="001A3699"/>
    <w:rsid w:val="001B5B90"/>
    <w:rsid w:val="001C5222"/>
    <w:rsid w:val="001D227D"/>
    <w:rsid w:val="001D451A"/>
    <w:rsid w:val="001D478E"/>
    <w:rsid w:val="001D65AA"/>
    <w:rsid w:val="001E0BF5"/>
    <w:rsid w:val="001E1455"/>
    <w:rsid w:val="001E6867"/>
    <w:rsid w:val="001F6FE2"/>
    <w:rsid w:val="00202C7D"/>
    <w:rsid w:val="00203CD3"/>
    <w:rsid w:val="00204975"/>
    <w:rsid w:val="00215BED"/>
    <w:rsid w:val="00217326"/>
    <w:rsid w:val="00223433"/>
    <w:rsid w:val="00226582"/>
    <w:rsid w:val="002376CA"/>
    <w:rsid w:val="00242E57"/>
    <w:rsid w:val="00243675"/>
    <w:rsid w:val="00245841"/>
    <w:rsid w:val="002503B9"/>
    <w:rsid w:val="00250F0E"/>
    <w:rsid w:val="00254A36"/>
    <w:rsid w:val="002554E2"/>
    <w:rsid w:val="00262005"/>
    <w:rsid w:val="0027562A"/>
    <w:rsid w:val="002809DB"/>
    <w:rsid w:val="00284CAE"/>
    <w:rsid w:val="002856C4"/>
    <w:rsid w:val="00291611"/>
    <w:rsid w:val="002A28B5"/>
    <w:rsid w:val="002A72F9"/>
    <w:rsid w:val="002B2749"/>
    <w:rsid w:val="002B3F64"/>
    <w:rsid w:val="002B4E9F"/>
    <w:rsid w:val="002C4CF0"/>
    <w:rsid w:val="002D501F"/>
    <w:rsid w:val="002E01AF"/>
    <w:rsid w:val="002E6A3B"/>
    <w:rsid w:val="00314C5D"/>
    <w:rsid w:val="00340BD0"/>
    <w:rsid w:val="00347E9A"/>
    <w:rsid w:val="00361334"/>
    <w:rsid w:val="003652D5"/>
    <w:rsid w:val="0036643D"/>
    <w:rsid w:val="003747DB"/>
    <w:rsid w:val="00375167"/>
    <w:rsid w:val="0037541E"/>
    <w:rsid w:val="003805D1"/>
    <w:rsid w:val="003806E2"/>
    <w:rsid w:val="003816A4"/>
    <w:rsid w:val="003963D5"/>
    <w:rsid w:val="003A541F"/>
    <w:rsid w:val="003A6C91"/>
    <w:rsid w:val="003B191A"/>
    <w:rsid w:val="003C05CE"/>
    <w:rsid w:val="003C150A"/>
    <w:rsid w:val="003C2CBD"/>
    <w:rsid w:val="003D0846"/>
    <w:rsid w:val="003E1022"/>
    <w:rsid w:val="003F6F9E"/>
    <w:rsid w:val="003F7426"/>
    <w:rsid w:val="00401241"/>
    <w:rsid w:val="00404227"/>
    <w:rsid w:val="004075D2"/>
    <w:rsid w:val="00407FAE"/>
    <w:rsid w:val="00410122"/>
    <w:rsid w:val="004102BD"/>
    <w:rsid w:val="00413BFB"/>
    <w:rsid w:val="00421E89"/>
    <w:rsid w:val="00422B8B"/>
    <w:rsid w:val="00425E1A"/>
    <w:rsid w:val="004434D6"/>
    <w:rsid w:val="004456FF"/>
    <w:rsid w:val="00461C6C"/>
    <w:rsid w:val="004715E3"/>
    <w:rsid w:val="004778D0"/>
    <w:rsid w:val="004964A1"/>
    <w:rsid w:val="004A330E"/>
    <w:rsid w:val="004A558A"/>
    <w:rsid w:val="004B5244"/>
    <w:rsid w:val="004C1493"/>
    <w:rsid w:val="004C5820"/>
    <w:rsid w:val="005066D3"/>
    <w:rsid w:val="00506B21"/>
    <w:rsid w:val="005117C2"/>
    <w:rsid w:val="00523110"/>
    <w:rsid w:val="00523E95"/>
    <w:rsid w:val="0052492B"/>
    <w:rsid w:val="00526F44"/>
    <w:rsid w:val="005347D8"/>
    <w:rsid w:val="00541D5D"/>
    <w:rsid w:val="005456AA"/>
    <w:rsid w:val="00546AA4"/>
    <w:rsid w:val="00567B94"/>
    <w:rsid w:val="00567BD7"/>
    <w:rsid w:val="0057082F"/>
    <w:rsid w:val="0057087E"/>
    <w:rsid w:val="00582823"/>
    <w:rsid w:val="005873FB"/>
    <w:rsid w:val="00593363"/>
    <w:rsid w:val="00596FD8"/>
    <w:rsid w:val="005A0367"/>
    <w:rsid w:val="005A0F14"/>
    <w:rsid w:val="005A4BC5"/>
    <w:rsid w:val="005C0A6C"/>
    <w:rsid w:val="005C6C05"/>
    <w:rsid w:val="005D18DB"/>
    <w:rsid w:val="005D1C87"/>
    <w:rsid w:val="005D4FC7"/>
    <w:rsid w:val="005D5C65"/>
    <w:rsid w:val="005E6CCA"/>
    <w:rsid w:val="005F3553"/>
    <w:rsid w:val="00603E93"/>
    <w:rsid w:val="00610347"/>
    <w:rsid w:val="00614347"/>
    <w:rsid w:val="006174E0"/>
    <w:rsid w:val="00627671"/>
    <w:rsid w:val="006330FB"/>
    <w:rsid w:val="00643C01"/>
    <w:rsid w:val="00656E40"/>
    <w:rsid w:val="00670333"/>
    <w:rsid w:val="00677C49"/>
    <w:rsid w:val="00681AA8"/>
    <w:rsid w:val="00692717"/>
    <w:rsid w:val="00692FA8"/>
    <w:rsid w:val="006932E1"/>
    <w:rsid w:val="00695198"/>
    <w:rsid w:val="00696CB8"/>
    <w:rsid w:val="006B0C19"/>
    <w:rsid w:val="006C16DA"/>
    <w:rsid w:val="006C29E9"/>
    <w:rsid w:val="006C331D"/>
    <w:rsid w:val="006C3E26"/>
    <w:rsid w:val="006C55D5"/>
    <w:rsid w:val="006E0742"/>
    <w:rsid w:val="006F5CD0"/>
    <w:rsid w:val="006F6C91"/>
    <w:rsid w:val="006F6C95"/>
    <w:rsid w:val="00701BEC"/>
    <w:rsid w:val="00702371"/>
    <w:rsid w:val="00704E31"/>
    <w:rsid w:val="00714FD1"/>
    <w:rsid w:val="0071786A"/>
    <w:rsid w:val="00720CFD"/>
    <w:rsid w:val="00721775"/>
    <w:rsid w:val="00721F21"/>
    <w:rsid w:val="00722990"/>
    <w:rsid w:val="007260C3"/>
    <w:rsid w:val="00736CEC"/>
    <w:rsid w:val="00742422"/>
    <w:rsid w:val="0074448C"/>
    <w:rsid w:val="007508D0"/>
    <w:rsid w:val="007526E0"/>
    <w:rsid w:val="0075327A"/>
    <w:rsid w:val="00762922"/>
    <w:rsid w:val="00764D7D"/>
    <w:rsid w:val="00766A88"/>
    <w:rsid w:val="007742B7"/>
    <w:rsid w:val="007768A7"/>
    <w:rsid w:val="00784733"/>
    <w:rsid w:val="007867B7"/>
    <w:rsid w:val="00787148"/>
    <w:rsid w:val="00794DBD"/>
    <w:rsid w:val="007A7FAD"/>
    <w:rsid w:val="007C6C37"/>
    <w:rsid w:val="007D2936"/>
    <w:rsid w:val="007D66D3"/>
    <w:rsid w:val="007E539B"/>
    <w:rsid w:val="007F7954"/>
    <w:rsid w:val="008013C0"/>
    <w:rsid w:val="008250CA"/>
    <w:rsid w:val="00826106"/>
    <w:rsid w:val="008264AC"/>
    <w:rsid w:val="00844472"/>
    <w:rsid w:val="00851280"/>
    <w:rsid w:val="00851ECE"/>
    <w:rsid w:val="00855C2B"/>
    <w:rsid w:val="0085603A"/>
    <w:rsid w:val="0086128B"/>
    <w:rsid w:val="00861744"/>
    <w:rsid w:val="00862C94"/>
    <w:rsid w:val="0086501B"/>
    <w:rsid w:val="00867CD3"/>
    <w:rsid w:val="008729D3"/>
    <w:rsid w:val="00873104"/>
    <w:rsid w:val="0087731D"/>
    <w:rsid w:val="00883CFB"/>
    <w:rsid w:val="008904E4"/>
    <w:rsid w:val="008A102C"/>
    <w:rsid w:val="008A47DE"/>
    <w:rsid w:val="008A501F"/>
    <w:rsid w:val="008B27B0"/>
    <w:rsid w:val="008B33FC"/>
    <w:rsid w:val="008C15F5"/>
    <w:rsid w:val="008C270B"/>
    <w:rsid w:val="008D6CF4"/>
    <w:rsid w:val="008E0215"/>
    <w:rsid w:val="008E3009"/>
    <w:rsid w:val="008F3EF3"/>
    <w:rsid w:val="008F70F8"/>
    <w:rsid w:val="00903F76"/>
    <w:rsid w:val="0090644C"/>
    <w:rsid w:val="009071F7"/>
    <w:rsid w:val="0091304C"/>
    <w:rsid w:val="00914E1F"/>
    <w:rsid w:val="009202D9"/>
    <w:rsid w:val="009318A0"/>
    <w:rsid w:val="00933457"/>
    <w:rsid w:val="00940437"/>
    <w:rsid w:val="0096256E"/>
    <w:rsid w:val="00980A09"/>
    <w:rsid w:val="00980C4B"/>
    <w:rsid w:val="0099111C"/>
    <w:rsid w:val="009945F4"/>
    <w:rsid w:val="0099489C"/>
    <w:rsid w:val="009979F1"/>
    <w:rsid w:val="009A4DD3"/>
    <w:rsid w:val="009A6022"/>
    <w:rsid w:val="009A7956"/>
    <w:rsid w:val="009B2EE8"/>
    <w:rsid w:val="009B5609"/>
    <w:rsid w:val="009B6770"/>
    <w:rsid w:val="009C0644"/>
    <w:rsid w:val="009C0FC5"/>
    <w:rsid w:val="009C120E"/>
    <w:rsid w:val="009D2DCB"/>
    <w:rsid w:val="009D554B"/>
    <w:rsid w:val="009E2D29"/>
    <w:rsid w:val="009F5D39"/>
    <w:rsid w:val="00A00600"/>
    <w:rsid w:val="00A06268"/>
    <w:rsid w:val="00A17316"/>
    <w:rsid w:val="00A25F68"/>
    <w:rsid w:val="00A323BE"/>
    <w:rsid w:val="00A457E8"/>
    <w:rsid w:val="00A55996"/>
    <w:rsid w:val="00A56FB7"/>
    <w:rsid w:val="00A6253A"/>
    <w:rsid w:val="00A645CE"/>
    <w:rsid w:val="00A64A19"/>
    <w:rsid w:val="00A81ABF"/>
    <w:rsid w:val="00A81B3B"/>
    <w:rsid w:val="00A93005"/>
    <w:rsid w:val="00A9432C"/>
    <w:rsid w:val="00A97D19"/>
    <w:rsid w:val="00A97F70"/>
    <w:rsid w:val="00AB0381"/>
    <w:rsid w:val="00AB21E5"/>
    <w:rsid w:val="00AC20BC"/>
    <w:rsid w:val="00AC401C"/>
    <w:rsid w:val="00AD39CE"/>
    <w:rsid w:val="00AD7891"/>
    <w:rsid w:val="00AE779B"/>
    <w:rsid w:val="00AF1F5A"/>
    <w:rsid w:val="00AF6E59"/>
    <w:rsid w:val="00B00092"/>
    <w:rsid w:val="00B05952"/>
    <w:rsid w:val="00B05A3D"/>
    <w:rsid w:val="00B066DB"/>
    <w:rsid w:val="00B10350"/>
    <w:rsid w:val="00B31DDB"/>
    <w:rsid w:val="00B40548"/>
    <w:rsid w:val="00B41009"/>
    <w:rsid w:val="00B50B28"/>
    <w:rsid w:val="00B60A93"/>
    <w:rsid w:val="00B642C6"/>
    <w:rsid w:val="00B66130"/>
    <w:rsid w:val="00B721A8"/>
    <w:rsid w:val="00B73BB9"/>
    <w:rsid w:val="00B7695E"/>
    <w:rsid w:val="00B90A98"/>
    <w:rsid w:val="00B9212E"/>
    <w:rsid w:val="00B93338"/>
    <w:rsid w:val="00BA3B39"/>
    <w:rsid w:val="00BA6D31"/>
    <w:rsid w:val="00BB3EF1"/>
    <w:rsid w:val="00BB4428"/>
    <w:rsid w:val="00BB49EF"/>
    <w:rsid w:val="00BC0CBD"/>
    <w:rsid w:val="00BC1D08"/>
    <w:rsid w:val="00BC21A3"/>
    <w:rsid w:val="00BC2C7D"/>
    <w:rsid w:val="00BC73AA"/>
    <w:rsid w:val="00BC7847"/>
    <w:rsid w:val="00BD0729"/>
    <w:rsid w:val="00BE0C72"/>
    <w:rsid w:val="00BE19AC"/>
    <w:rsid w:val="00BE75C1"/>
    <w:rsid w:val="00BF3E4F"/>
    <w:rsid w:val="00BF4991"/>
    <w:rsid w:val="00BF7497"/>
    <w:rsid w:val="00BF7FB5"/>
    <w:rsid w:val="00C02888"/>
    <w:rsid w:val="00C1054E"/>
    <w:rsid w:val="00C123F6"/>
    <w:rsid w:val="00C2569D"/>
    <w:rsid w:val="00C408E3"/>
    <w:rsid w:val="00C47956"/>
    <w:rsid w:val="00C5221F"/>
    <w:rsid w:val="00C57D32"/>
    <w:rsid w:val="00C640F9"/>
    <w:rsid w:val="00C67031"/>
    <w:rsid w:val="00C81BF6"/>
    <w:rsid w:val="00C82328"/>
    <w:rsid w:val="00C867DF"/>
    <w:rsid w:val="00C911DB"/>
    <w:rsid w:val="00C952DA"/>
    <w:rsid w:val="00CA43DB"/>
    <w:rsid w:val="00CB74B8"/>
    <w:rsid w:val="00CD21B7"/>
    <w:rsid w:val="00CD2D3F"/>
    <w:rsid w:val="00CE1C50"/>
    <w:rsid w:val="00CE3B39"/>
    <w:rsid w:val="00CE5337"/>
    <w:rsid w:val="00CF0498"/>
    <w:rsid w:val="00CF2D6E"/>
    <w:rsid w:val="00CF5236"/>
    <w:rsid w:val="00CF52AD"/>
    <w:rsid w:val="00D0345B"/>
    <w:rsid w:val="00D1110E"/>
    <w:rsid w:val="00D166B3"/>
    <w:rsid w:val="00D16B8A"/>
    <w:rsid w:val="00D17061"/>
    <w:rsid w:val="00D24C65"/>
    <w:rsid w:val="00D33FC0"/>
    <w:rsid w:val="00D34E78"/>
    <w:rsid w:val="00D43E2D"/>
    <w:rsid w:val="00D452C2"/>
    <w:rsid w:val="00D46257"/>
    <w:rsid w:val="00D470EC"/>
    <w:rsid w:val="00D53D68"/>
    <w:rsid w:val="00D60EC7"/>
    <w:rsid w:val="00D736D4"/>
    <w:rsid w:val="00D872D3"/>
    <w:rsid w:val="00D87D71"/>
    <w:rsid w:val="00D92E15"/>
    <w:rsid w:val="00D94C0C"/>
    <w:rsid w:val="00D968ED"/>
    <w:rsid w:val="00DC50DE"/>
    <w:rsid w:val="00DD7797"/>
    <w:rsid w:val="00DE09E4"/>
    <w:rsid w:val="00DE129F"/>
    <w:rsid w:val="00DE40D9"/>
    <w:rsid w:val="00DE57B2"/>
    <w:rsid w:val="00DE7279"/>
    <w:rsid w:val="00DF0917"/>
    <w:rsid w:val="00DF1283"/>
    <w:rsid w:val="00DF6BB6"/>
    <w:rsid w:val="00E01026"/>
    <w:rsid w:val="00E01566"/>
    <w:rsid w:val="00E02CFC"/>
    <w:rsid w:val="00E05312"/>
    <w:rsid w:val="00E11BCF"/>
    <w:rsid w:val="00E1649D"/>
    <w:rsid w:val="00E26611"/>
    <w:rsid w:val="00E41F84"/>
    <w:rsid w:val="00E46283"/>
    <w:rsid w:val="00E525A7"/>
    <w:rsid w:val="00E56FDF"/>
    <w:rsid w:val="00E63548"/>
    <w:rsid w:val="00E6625A"/>
    <w:rsid w:val="00E66E71"/>
    <w:rsid w:val="00E678B2"/>
    <w:rsid w:val="00E81351"/>
    <w:rsid w:val="00E90ABA"/>
    <w:rsid w:val="00EA02DE"/>
    <w:rsid w:val="00EA21B3"/>
    <w:rsid w:val="00EB07AB"/>
    <w:rsid w:val="00EB2604"/>
    <w:rsid w:val="00EB464C"/>
    <w:rsid w:val="00EC17A5"/>
    <w:rsid w:val="00ED6FB1"/>
    <w:rsid w:val="00EE3B3F"/>
    <w:rsid w:val="00EF2885"/>
    <w:rsid w:val="00EF2C86"/>
    <w:rsid w:val="00EF2CE2"/>
    <w:rsid w:val="00EF48F4"/>
    <w:rsid w:val="00EF504C"/>
    <w:rsid w:val="00EF571B"/>
    <w:rsid w:val="00F06AD7"/>
    <w:rsid w:val="00F10569"/>
    <w:rsid w:val="00F12EE5"/>
    <w:rsid w:val="00F13789"/>
    <w:rsid w:val="00F1626E"/>
    <w:rsid w:val="00F16E09"/>
    <w:rsid w:val="00F40DB0"/>
    <w:rsid w:val="00F41757"/>
    <w:rsid w:val="00F61F6A"/>
    <w:rsid w:val="00F64896"/>
    <w:rsid w:val="00F64B71"/>
    <w:rsid w:val="00F71C1A"/>
    <w:rsid w:val="00F73D8F"/>
    <w:rsid w:val="00F82130"/>
    <w:rsid w:val="00F91851"/>
    <w:rsid w:val="00F918C1"/>
    <w:rsid w:val="00F957E5"/>
    <w:rsid w:val="00FA1DAC"/>
    <w:rsid w:val="00FB52F5"/>
    <w:rsid w:val="00FC511A"/>
    <w:rsid w:val="00FD29F4"/>
    <w:rsid w:val="00FD4050"/>
    <w:rsid w:val="00FE03AE"/>
    <w:rsid w:val="00FE425F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14BA"/>
  <w15:docId w15:val="{E93E90FD-5C7C-42E3-B514-2B7CCEF8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A1DAC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422B8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42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422B8B"/>
    <w:rPr>
      <w:rFonts w:ascii="Calibri" w:eastAsia="Calibri" w:hAnsi="Calibri" w:cs="Times New Roman"/>
    </w:rPr>
  </w:style>
  <w:style w:type="paragraph" w:customStyle="1" w:styleId="cf0agj">
    <w:name w:val="cf0 agj"/>
    <w:basedOn w:val="Norml"/>
    <w:rsid w:val="00422B8B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rsid w:val="00E46283"/>
    <w:pPr>
      <w:spacing w:before="100" w:beforeAutospacing="1" w:after="100" w:afterAutospacing="1"/>
    </w:pPr>
  </w:style>
  <w:style w:type="character" w:customStyle="1" w:styleId="Cmsor1Char">
    <w:name w:val="Címsor 1 Char"/>
    <w:basedOn w:val="Bekezdsalapbettpusa"/>
    <w:link w:val="Cmsor1"/>
    <w:rsid w:val="00FA1DA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508D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508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508D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508D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2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227"/>
    <w:rPr>
      <w:rFonts w:ascii="Segoe UI" w:eastAsia="Times New Roman" w:hAnsi="Segoe UI" w:cs="Segoe UI"/>
      <w:sz w:val="18"/>
      <w:szCs w:val="18"/>
      <w:lang w:eastAsia="hu-HU"/>
    </w:rPr>
  </w:style>
  <w:style w:type="paragraph" w:styleId="Szvegtrzs2">
    <w:name w:val="Body Text 2"/>
    <w:basedOn w:val="Norml"/>
    <w:link w:val="Szvegtrzs2Char"/>
    <w:rsid w:val="00B40548"/>
    <w:pPr>
      <w:suppressAutoHyphens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B40548"/>
    <w:rPr>
      <w:rFonts w:ascii="Times New Roman" w:eastAsia="Times New Roman" w:hAnsi="Times New Roman" w:cs="Times New Roman"/>
      <w:sz w:val="24"/>
      <w:szCs w:val="20"/>
    </w:rPr>
  </w:style>
  <w:style w:type="character" w:styleId="Hiperhivatkozs">
    <w:name w:val="Hyperlink"/>
    <w:rsid w:val="00603E93"/>
    <w:rPr>
      <w:color w:val="0000FF"/>
      <w:u w:val="single"/>
    </w:rPr>
  </w:style>
  <w:style w:type="table" w:styleId="Rcsostblzat">
    <w:name w:val="Table Grid"/>
    <w:basedOn w:val="Normltblzat"/>
    <w:uiPriority w:val="39"/>
    <w:rsid w:val="0056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C9CB1-8EAE-416C-8B58-DD19DA02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4</Pages>
  <Words>1505</Words>
  <Characters>10388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351</cp:revision>
  <cp:lastPrinted>2025-04-23T09:54:00Z</cp:lastPrinted>
  <dcterms:created xsi:type="dcterms:W3CDTF">2018-05-02T14:47:00Z</dcterms:created>
  <dcterms:modified xsi:type="dcterms:W3CDTF">2025-04-24T10:18:00Z</dcterms:modified>
</cp:coreProperties>
</file>